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A0DA" w14:textId="77777777" w:rsidR="00BD1ED8" w:rsidRDefault="00BD1ED8" w:rsidP="004F0F25">
      <w:pPr>
        <w:tabs>
          <w:tab w:val="num" w:pos="720"/>
        </w:tabs>
        <w:spacing w:after="0" w:line="240" w:lineRule="auto"/>
        <w:ind w:left="720"/>
        <w:textAlignment w:val="baseline"/>
      </w:pPr>
    </w:p>
    <w:tbl>
      <w:tblPr>
        <w:tblStyle w:val="Tabellrutenett1"/>
        <w:tblW w:w="967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
        <w:gridCol w:w="8530"/>
        <w:gridCol w:w="382"/>
        <w:gridCol w:w="382"/>
      </w:tblGrid>
      <w:tr w:rsidR="00BD1ED8" w:rsidRPr="00A833F3" w14:paraId="011F546C" w14:textId="77777777" w:rsidTr="14236CA4">
        <w:tc>
          <w:tcPr>
            <w:tcW w:w="382" w:type="dxa"/>
          </w:tcPr>
          <w:p w14:paraId="23771BF7" w14:textId="77777777" w:rsidR="00BD1ED8" w:rsidRPr="00A833F3" w:rsidRDefault="00BD1ED8" w:rsidP="00A623BE">
            <w:pPr>
              <w:spacing w:before="3000"/>
              <w:rPr>
                <w:sz w:val="24"/>
              </w:rPr>
            </w:pPr>
          </w:p>
        </w:tc>
        <w:tc>
          <w:tcPr>
            <w:tcW w:w="8530" w:type="dxa"/>
            <w:vAlign w:val="bottom"/>
            <w:hideMark/>
          </w:tcPr>
          <w:p w14:paraId="2B789605" w14:textId="77777777" w:rsidR="00BD1ED8" w:rsidRPr="00A833F3" w:rsidRDefault="00BD1ED8" w:rsidP="00A623BE">
            <w:pPr>
              <w:spacing w:before="3000"/>
              <w:rPr>
                <w:sz w:val="24"/>
                <w:szCs w:val="24"/>
              </w:rPr>
            </w:pPr>
            <w:r w:rsidRPr="00A833F3">
              <w:rPr>
                <w:noProof/>
                <w:lang w:eastAsia="nb-NO"/>
              </w:rPr>
              <w:drawing>
                <wp:inline distT="0" distB="0" distL="0" distR="0" wp14:anchorId="1CA1586F" wp14:editId="74CA6A7F">
                  <wp:extent cx="1978025" cy="307975"/>
                  <wp:effectExtent l="0" t="0" r="3175" b="0"/>
                  <wp:docPr id="17" name="Bilde 17" descr="FR_logo_N_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_logo_N_s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025" cy="307975"/>
                          </a:xfrm>
                          <a:prstGeom prst="rect">
                            <a:avLst/>
                          </a:prstGeom>
                          <a:noFill/>
                          <a:ln>
                            <a:noFill/>
                          </a:ln>
                        </pic:spPr>
                      </pic:pic>
                    </a:graphicData>
                  </a:graphic>
                </wp:inline>
              </w:drawing>
            </w:r>
          </w:p>
        </w:tc>
        <w:tc>
          <w:tcPr>
            <w:tcW w:w="382" w:type="dxa"/>
          </w:tcPr>
          <w:p w14:paraId="4C1FF5A3" w14:textId="77777777" w:rsidR="00BD1ED8" w:rsidRPr="00A833F3" w:rsidRDefault="00BD1ED8" w:rsidP="00A623BE">
            <w:pPr>
              <w:spacing w:before="3000"/>
              <w:rPr>
                <w:sz w:val="24"/>
              </w:rPr>
            </w:pPr>
          </w:p>
        </w:tc>
        <w:tc>
          <w:tcPr>
            <w:tcW w:w="382" w:type="dxa"/>
          </w:tcPr>
          <w:p w14:paraId="7BC1BB51" w14:textId="15DCDC33" w:rsidR="71742F12" w:rsidRDefault="71742F12" w:rsidP="71742F12">
            <w:pPr>
              <w:rPr>
                <w:sz w:val="24"/>
                <w:szCs w:val="24"/>
              </w:rPr>
            </w:pPr>
          </w:p>
        </w:tc>
      </w:tr>
      <w:tr w:rsidR="00BD1ED8" w:rsidRPr="00A833F3" w14:paraId="40FFD046" w14:textId="77777777" w:rsidTr="14236CA4">
        <w:trPr>
          <w:trHeight w:hRule="exact" w:val="284"/>
        </w:trPr>
        <w:tc>
          <w:tcPr>
            <w:tcW w:w="382" w:type="dxa"/>
            <w:tcBorders>
              <w:top w:val="nil"/>
              <w:left w:val="nil"/>
              <w:bottom w:val="single" w:sz="8" w:space="0" w:color="auto"/>
              <w:right w:val="nil"/>
            </w:tcBorders>
          </w:tcPr>
          <w:p w14:paraId="29F65D6C" w14:textId="77777777" w:rsidR="00BD1ED8" w:rsidRPr="00A833F3" w:rsidRDefault="00BD1ED8" w:rsidP="00A623BE"/>
        </w:tc>
        <w:tc>
          <w:tcPr>
            <w:tcW w:w="8530" w:type="dxa"/>
            <w:tcBorders>
              <w:top w:val="nil"/>
              <w:left w:val="nil"/>
              <w:bottom w:val="single" w:sz="8" w:space="0" w:color="auto"/>
              <w:right w:val="nil"/>
            </w:tcBorders>
          </w:tcPr>
          <w:p w14:paraId="6B6AB5D3" w14:textId="77777777" w:rsidR="00BD1ED8" w:rsidRPr="00A833F3" w:rsidRDefault="00BD1ED8" w:rsidP="00A623BE"/>
        </w:tc>
        <w:tc>
          <w:tcPr>
            <w:tcW w:w="382" w:type="dxa"/>
            <w:tcBorders>
              <w:top w:val="nil"/>
              <w:left w:val="nil"/>
              <w:bottom w:val="single" w:sz="8" w:space="0" w:color="auto"/>
              <w:right w:val="nil"/>
            </w:tcBorders>
          </w:tcPr>
          <w:p w14:paraId="77CE50D4" w14:textId="77777777" w:rsidR="00BD1ED8" w:rsidRPr="00A833F3" w:rsidRDefault="00BD1ED8" w:rsidP="00A623BE">
            <w:pPr>
              <w:tabs>
                <w:tab w:val="center" w:pos="4536"/>
                <w:tab w:val="right" w:pos="9072"/>
              </w:tabs>
              <w:rPr>
                <w:szCs w:val="16"/>
              </w:rPr>
            </w:pPr>
          </w:p>
        </w:tc>
        <w:tc>
          <w:tcPr>
            <w:tcW w:w="382" w:type="dxa"/>
            <w:tcBorders>
              <w:top w:val="nil"/>
              <w:left w:val="nil"/>
              <w:bottom w:val="single" w:sz="8" w:space="0" w:color="auto"/>
              <w:right w:val="nil"/>
            </w:tcBorders>
          </w:tcPr>
          <w:p w14:paraId="7EDF4FF5" w14:textId="477A74F1" w:rsidR="71742F12" w:rsidRDefault="71742F12" w:rsidP="71742F12"/>
        </w:tc>
      </w:tr>
      <w:tr w:rsidR="00BD1ED8" w:rsidRPr="00A833F3" w14:paraId="70CFB357" w14:textId="77777777" w:rsidTr="14236CA4">
        <w:trPr>
          <w:trHeight w:val="2268"/>
        </w:trPr>
        <w:tc>
          <w:tcPr>
            <w:tcW w:w="382" w:type="dxa"/>
            <w:tcBorders>
              <w:top w:val="single" w:sz="8" w:space="0" w:color="auto"/>
              <w:left w:val="nil"/>
              <w:right w:val="nil"/>
            </w:tcBorders>
          </w:tcPr>
          <w:p w14:paraId="30E5DFA1" w14:textId="77777777" w:rsidR="00BD1ED8" w:rsidRPr="00A833F3" w:rsidRDefault="00BD1ED8" w:rsidP="00A623BE"/>
        </w:tc>
        <w:tc>
          <w:tcPr>
            <w:tcW w:w="8530" w:type="dxa"/>
            <w:tcBorders>
              <w:top w:val="single" w:sz="8" w:space="0" w:color="auto"/>
              <w:left w:val="nil"/>
              <w:right w:val="nil"/>
            </w:tcBorders>
            <w:shd w:val="clear" w:color="auto" w:fill="auto"/>
            <w:hideMark/>
          </w:tcPr>
          <w:sdt>
            <w:sdtPr>
              <w:rPr>
                <w:rFonts w:eastAsiaTheme="majorEastAsia" w:cstheme="majorBidi"/>
                <w:spacing w:val="5"/>
                <w:kern w:val="28"/>
                <w:sz w:val="48"/>
                <w:szCs w:val="52"/>
              </w:rPr>
              <w:alias w:val="Tittel"/>
              <w:tag w:val="Tittel"/>
              <w:id w:val="-531268466"/>
              <w:placeholder>
                <w:docPart w:val="5BAA5E5107DE4F1AA825ACE1996683D5"/>
              </w:placeholder>
              <w:text w:multiLine="1"/>
            </w:sdtPr>
            <w:sdtEndPr/>
            <w:sdtContent>
              <w:p w14:paraId="59FC6739" w14:textId="77777777" w:rsidR="00BD1ED8" w:rsidRPr="00A833F3" w:rsidRDefault="00BD1ED8" w:rsidP="00A623BE">
                <w:pPr>
                  <w:spacing w:before="1440" w:after="360"/>
                  <w:contextualSpacing/>
                  <w:jc w:val="right"/>
                  <w:rPr>
                    <w:rFonts w:eastAsiaTheme="majorEastAsia" w:cstheme="majorBidi"/>
                    <w:spacing w:val="5"/>
                    <w:kern w:val="28"/>
                    <w:sz w:val="48"/>
                    <w:szCs w:val="52"/>
                  </w:rPr>
                </w:pPr>
                <w:r w:rsidRPr="00A833F3">
                  <w:rPr>
                    <w:rFonts w:eastAsiaTheme="majorEastAsia" w:cstheme="majorBidi"/>
                    <w:spacing w:val="5"/>
                    <w:kern w:val="28"/>
                    <w:sz w:val="48"/>
                    <w:szCs w:val="52"/>
                  </w:rPr>
                  <w:t>Portefølj</w:t>
                </w:r>
                <w:r>
                  <w:rPr>
                    <w:rFonts w:eastAsiaTheme="majorEastAsia" w:cstheme="majorBidi"/>
                    <w:spacing w:val="5"/>
                    <w:kern w:val="28"/>
                    <w:sz w:val="48"/>
                    <w:szCs w:val="52"/>
                  </w:rPr>
                  <w:t>eanalyse 2022</w:t>
                </w:r>
                <w:r w:rsidRPr="00A833F3">
                  <w:rPr>
                    <w:rFonts w:eastAsiaTheme="majorEastAsia" w:cstheme="majorBidi"/>
                    <w:spacing w:val="5"/>
                    <w:kern w:val="28"/>
                    <w:sz w:val="48"/>
                    <w:szCs w:val="52"/>
                  </w:rPr>
                  <w:t xml:space="preserve"> </w:t>
                </w:r>
              </w:p>
            </w:sdtContent>
          </w:sdt>
          <w:p w14:paraId="0D702049" w14:textId="77777777" w:rsidR="00A623BE" w:rsidRDefault="00A623BE" w:rsidP="00A623BE">
            <w:pPr>
              <w:spacing w:before="1440" w:after="360"/>
              <w:contextualSpacing/>
              <w:jc w:val="right"/>
              <w:rPr>
                <w:rFonts w:eastAsiaTheme="majorEastAsia" w:cstheme="majorBidi"/>
                <w:spacing w:val="5"/>
                <w:kern w:val="28"/>
                <w:sz w:val="48"/>
                <w:szCs w:val="52"/>
              </w:rPr>
            </w:pPr>
          </w:p>
        </w:tc>
        <w:tc>
          <w:tcPr>
            <w:tcW w:w="382" w:type="dxa"/>
            <w:tcBorders>
              <w:top w:val="single" w:sz="8" w:space="0" w:color="auto"/>
              <w:left w:val="nil"/>
              <w:right w:val="nil"/>
            </w:tcBorders>
          </w:tcPr>
          <w:p w14:paraId="6B81E233" w14:textId="77777777" w:rsidR="00BD1ED8" w:rsidRPr="00A833F3" w:rsidRDefault="00BD1ED8" w:rsidP="00A623BE"/>
        </w:tc>
        <w:tc>
          <w:tcPr>
            <w:tcW w:w="382" w:type="dxa"/>
            <w:tcBorders>
              <w:top w:val="single" w:sz="8" w:space="0" w:color="auto"/>
              <w:left w:val="nil"/>
              <w:right w:val="nil"/>
            </w:tcBorders>
          </w:tcPr>
          <w:p w14:paraId="5B2B9BB4" w14:textId="318A4C5A" w:rsidR="71742F12" w:rsidRDefault="71742F12" w:rsidP="71742F12"/>
        </w:tc>
      </w:tr>
      <w:tr w:rsidR="00BD1ED8" w:rsidRPr="00A833F3" w14:paraId="0EA1FC3F" w14:textId="77777777" w:rsidTr="14236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382" w:type="dxa"/>
            <w:tcBorders>
              <w:top w:val="nil"/>
              <w:left w:val="nil"/>
              <w:bottom w:val="nil"/>
              <w:right w:val="nil"/>
            </w:tcBorders>
          </w:tcPr>
          <w:p w14:paraId="6B1FF156" w14:textId="77777777" w:rsidR="00BD1ED8" w:rsidRPr="00A833F3" w:rsidRDefault="00BD1ED8" w:rsidP="00A623BE"/>
        </w:tc>
        <w:tc>
          <w:tcPr>
            <w:tcW w:w="8530" w:type="dxa"/>
            <w:tcBorders>
              <w:top w:val="nil"/>
              <w:left w:val="nil"/>
              <w:bottom w:val="nil"/>
              <w:right w:val="nil"/>
            </w:tcBorders>
            <w:hideMark/>
          </w:tcPr>
          <w:p w14:paraId="437A5D43" w14:textId="77777777" w:rsidR="00BD1ED8" w:rsidRPr="00A833F3" w:rsidRDefault="00BD1ED8" w:rsidP="00A623BE">
            <w:pPr>
              <w:jc w:val="right"/>
              <w:rPr>
                <w:sz w:val="28"/>
              </w:rPr>
            </w:pPr>
          </w:p>
        </w:tc>
        <w:tc>
          <w:tcPr>
            <w:tcW w:w="382" w:type="dxa"/>
            <w:tcBorders>
              <w:top w:val="nil"/>
              <w:left w:val="nil"/>
              <w:bottom w:val="nil"/>
              <w:right w:val="nil"/>
            </w:tcBorders>
          </w:tcPr>
          <w:p w14:paraId="4858B845" w14:textId="77777777" w:rsidR="00BD1ED8" w:rsidRPr="00A833F3" w:rsidRDefault="00BD1ED8" w:rsidP="00A623BE"/>
        </w:tc>
        <w:tc>
          <w:tcPr>
            <w:tcW w:w="382" w:type="dxa"/>
            <w:tcBorders>
              <w:top w:val="nil"/>
              <w:left w:val="nil"/>
              <w:bottom w:val="nil"/>
              <w:right w:val="nil"/>
            </w:tcBorders>
          </w:tcPr>
          <w:p w14:paraId="55063CFE" w14:textId="273A45D1" w:rsidR="71742F12" w:rsidRDefault="71742F12" w:rsidP="71742F12"/>
        </w:tc>
      </w:tr>
      <w:tr w:rsidR="00BD1ED8" w:rsidRPr="00A833F3" w14:paraId="3504BEBF" w14:textId="77777777" w:rsidTr="14236CA4">
        <w:trPr>
          <w:trHeight w:val="1134"/>
        </w:trPr>
        <w:tc>
          <w:tcPr>
            <w:tcW w:w="382" w:type="dxa"/>
            <w:tcBorders>
              <w:top w:val="single" w:sz="8" w:space="0" w:color="auto"/>
              <w:left w:val="nil"/>
              <w:bottom w:val="single" w:sz="8" w:space="0" w:color="auto"/>
              <w:right w:val="nil"/>
            </w:tcBorders>
          </w:tcPr>
          <w:p w14:paraId="7756B3CE" w14:textId="77777777" w:rsidR="00BD1ED8" w:rsidRPr="00A833F3" w:rsidRDefault="00BD1ED8" w:rsidP="00A623BE"/>
        </w:tc>
        <w:tc>
          <w:tcPr>
            <w:tcW w:w="8530" w:type="dxa"/>
            <w:tcBorders>
              <w:top w:val="single" w:sz="8" w:space="0" w:color="auto"/>
              <w:left w:val="nil"/>
              <w:bottom w:val="single" w:sz="8" w:space="0" w:color="auto"/>
              <w:right w:val="nil"/>
            </w:tcBorders>
            <w:hideMark/>
          </w:tcPr>
          <w:sdt>
            <w:sdtPr>
              <w:rPr>
                <w:sz w:val="28"/>
              </w:rPr>
              <w:alias w:val="Undertittel"/>
              <w:tag w:val="Undertittel"/>
              <w:id w:val="-1794355972"/>
              <w:placeholder>
                <w:docPart w:val="D34794F1423040328827D45BB281419D"/>
              </w:placeholder>
              <w:text w:multiLine="1"/>
            </w:sdtPr>
            <w:sdtEndPr/>
            <w:sdtContent>
              <w:p w14:paraId="5DFA5608" w14:textId="777E83F2" w:rsidR="00BD1ED8" w:rsidRPr="00A833F3" w:rsidRDefault="007D099E" w:rsidP="00A623BE">
                <w:pPr>
                  <w:spacing w:before="160"/>
                  <w:jc w:val="right"/>
                  <w:rPr>
                    <w:sz w:val="28"/>
                  </w:rPr>
                </w:pPr>
                <w:r>
                  <w:rPr>
                    <w:sz w:val="28"/>
                  </w:rPr>
                  <w:t xml:space="preserve">Forskningsrådets bidrag til forskerrekruttering og tidlig karriere </w:t>
                </w:r>
              </w:p>
            </w:sdtContent>
          </w:sdt>
          <w:p w14:paraId="78F4E9B6" w14:textId="77777777" w:rsidR="00A623BE" w:rsidRDefault="00A623BE" w:rsidP="00A623BE">
            <w:pPr>
              <w:spacing w:before="160"/>
              <w:jc w:val="right"/>
              <w:rPr>
                <w:sz w:val="28"/>
              </w:rPr>
            </w:pPr>
          </w:p>
        </w:tc>
        <w:tc>
          <w:tcPr>
            <w:tcW w:w="382" w:type="dxa"/>
            <w:tcBorders>
              <w:top w:val="single" w:sz="8" w:space="0" w:color="auto"/>
              <w:left w:val="nil"/>
              <w:bottom w:val="single" w:sz="8" w:space="0" w:color="auto"/>
              <w:right w:val="nil"/>
            </w:tcBorders>
          </w:tcPr>
          <w:p w14:paraId="4023B5DD" w14:textId="77777777" w:rsidR="00BD1ED8" w:rsidRPr="00A833F3" w:rsidRDefault="00BD1ED8" w:rsidP="00A623BE"/>
        </w:tc>
        <w:tc>
          <w:tcPr>
            <w:tcW w:w="382" w:type="dxa"/>
            <w:tcBorders>
              <w:top w:val="single" w:sz="8" w:space="0" w:color="auto"/>
              <w:left w:val="nil"/>
              <w:bottom w:val="single" w:sz="8" w:space="0" w:color="auto"/>
              <w:right w:val="nil"/>
            </w:tcBorders>
          </w:tcPr>
          <w:p w14:paraId="7963AFA7" w14:textId="262C60A6" w:rsidR="71742F12" w:rsidRDefault="71742F12" w:rsidP="71742F12"/>
        </w:tc>
      </w:tr>
    </w:tbl>
    <w:p w14:paraId="1216689A" w14:textId="77777777" w:rsidR="00BD1ED8" w:rsidRPr="00A833F3" w:rsidRDefault="00BD1ED8" w:rsidP="00BD1ED8"/>
    <w:p w14:paraId="73199113" w14:textId="00B78CCE" w:rsidR="00BD1ED8" w:rsidRPr="007D099E" w:rsidRDefault="00BD1ED8" w:rsidP="505B6C1C">
      <w:pPr>
        <w:spacing w:after="0" w:line="240" w:lineRule="auto"/>
        <w:ind w:left="360"/>
        <w:textAlignment w:val="baseline"/>
        <w:rPr>
          <w:rFonts w:ascii="Calibri" w:eastAsia="Times New Roman" w:hAnsi="Calibri" w:cs="Calibri"/>
          <w:b/>
          <w:bCs/>
          <w:color w:val="000000"/>
          <w:sz w:val="36"/>
          <w:szCs w:val="36"/>
        </w:rPr>
      </w:pPr>
      <w:r>
        <w:br w:type="page"/>
      </w:r>
    </w:p>
    <w:sdt>
      <w:sdtPr>
        <w:rPr>
          <w:rFonts w:eastAsiaTheme="minorHAnsi" w:cstheme="minorBidi"/>
          <w:b w:val="0"/>
          <w:bCs w:val="0"/>
          <w:sz w:val="22"/>
          <w:szCs w:val="22"/>
        </w:rPr>
        <w:id w:val="1452051777"/>
        <w:docPartObj>
          <w:docPartGallery w:val="Table of Contents"/>
          <w:docPartUnique/>
        </w:docPartObj>
      </w:sdtPr>
      <w:sdtEndPr/>
      <w:sdtContent>
        <w:p w14:paraId="0CBA0F13" w14:textId="7BFD3A87" w:rsidR="002660C0" w:rsidRDefault="002660C0">
          <w:pPr>
            <w:pStyle w:val="Overskriftforinnholdsfortegnelse"/>
          </w:pPr>
          <w:r>
            <w:t>Innhold</w:t>
          </w:r>
        </w:p>
        <w:p w14:paraId="1FD380A5" w14:textId="77777777" w:rsidR="002660C0" w:rsidRDefault="002660C0">
          <w:pPr>
            <w:pStyle w:val="INNH1"/>
            <w:tabs>
              <w:tab w:val="right" w:leader="dot" w:pos="9060"/>
            </w:tabs>
          </w:pPr>
        </w:p>
        <w:p w14:paraId="2B09FF62" w14:textId="6C0D32CB" w:rsidR="00BB54AD" w:rsidRDefault="002660C0">
          <w:pPr>
            <w:pStyle w:val="INNH1"/>
            <w:tabs>
              <w:tab w:val="right" w:leader="dot" w:pos="9060"/>
            </w:tabs>
            <w:rPr>
              <w:rFonts w:eastAsiaTheme="minorEastAsia"/>
              <w:noProof/>
              <w:color w:val="auto"/>
              <w:lang w:val="en-US"/>
            </w:rPr>
          </w:pPr>
          <w:r>
            <w:fldChar w:fldCharType="begin"/>
          </w:r>
          <w:r>
            <w:instrText xml:space="preserve"> TOC \o "1-3" \h \z \u </w:instrText>
          </w:r>
          <w:r>
            <w:fldChar w:fldCharType="separate"/>
          </w:r>
          <w:hyperlink w:anchor="_Toc111796570" w:history="1">
            <w:r w:rsidR="00BB54AD" w:rsidRPr="007A7FC8">
              <w:rPr>
                <w:rStyle w:val="Hyperkobling"/>
                <w:noProof/>
              </w:rPr>
              <w:t>1. Omfang</w:t>
            </w:r>
            <w:r w:rsidR="00BB54AD">
              <w:rPr>
                <w:noProof/>
                <w:webHidden/>
              </w:rPr>
              <w:tab/>
            </w:r>
            <w:r w:rsidR="00BB54AD">
              <w:rPr>
                <w:noProof/>
                <w:webHidden/>
              </w:rPr>
              <w:fldChar w:fldCharType="begin"/>
            </w:r>
            <w:r w:rsidR="00BB54AD">
              <w:rPr>
                <w:noProof/>
                <w:webHidden/>
              </w:rPr>
              <w:instrText xml:space="preserve"> PAGEREF _Toc111796570 \h </w:instrText>
            </w:r>
            <w:r w:rsidR="00BB54AD">
              <w:rPr>
                <w:noProof/>
                <w:webHidden/>
              </w:rPr>
            </w:r>
            <w:r w:rsidR="00BB54AD">
              <w:rPr>
                <w:noProof/>
                <w:webHidden/>
              </w:rPr>
              <w:fldChar w:fldCharType="separate"/>
            </w:r>
            <w:r w:rsidR="00BB54AD">
              <w:rPr>
                <w:noProof/>
                <w:webHidden/>
              </w:rPr>
              <w:t>3</w:t>
            </w:r>
            <w:r w:rsidR="00BB54AD">
              <w:rPr>
                <w:noProof/>
                <w:webHidden/>
              </w:rPr>
              <w:fldChar w:fldCharType="end"/>
            </w:r>
          </w:hyperlink>
        </w:p>
        <w:p w14:paraId="39971E0E" w14:textId="59A358CA" w:rsidR="00BB54AD" w:rsidRDefault="001F712D">
          <w:pPr>
            <w:pStyle w:val="INNH1"/>
            <w:tabs>
              <w:tab w:val="right" w:leader="dot" w:pos="9060"/>
            </w:tabs>
            <w:rPr>
              <w:rFonts w:eastAsiaTheme="minorEastAsia"/>
              <w:noProof/>
              <w:color w:val="auto"/>
              <w:lang w:val="en-US"/>
            </w:rPr>
          </w:pPr>
          <w:hyperlink w:anchor="_Toc111796571" w:history="1">
            <w:r w:rsidR="00BB54AD" w:rsidRPr="007A7FC8">
              <w:rPr>
                <w:rStyle w:val="Hyperkobling"/>
                <w:noProof/>
              </w:rPr>
              <w:t>2. Hovedfunn</w:t>
            </w:r>
            <w:r w:rsidR="00BB54AD">
              <w:rPr>
                <w:noProof/>
                <w:webHidden/>
              </w:rPr>
              <w:tab/>
            </w:r>
            <w:r w:rsidR="00BB54AD">
              <w:rPr>
                <w:noProof/>
                <w:webHidden/>
              </w:rPr>
              <w:fldChar w:fldCharType="begin"/>
            </w:r>
            <w:r w:rsidR="00BB54AD">
              <w:rPr>
                <w:noProof/>
                <w:webHidden/>
              </w:rPr>
              <w:instrText xml:space="preserve"> PAGEREF _Toc111796571 \h </w:instrText>
            </w:r>
            <w:r w:rsidR="00BB54AD">
              <w:rPr>
                <w:noProof/>
                <w:webHidden/>
              </w:rPr>
            </w:r>
            <w:r w:rsidR="00BB54AD">
              <w:rPr>
                <w:noProof/>
                <w:webHidden/>
              </w:rPr>
              <w:fldChar w:fldCharType="separate"/>
            </w:r>
            <w:r w:rsidR="00BB54AD">
              <w:rPr>
                <w:noProof/>
                <w:webHidden/>
              </w:rPr>
              <w:t>4</w:t>
            </w:r>
            <w:r w:rsidR="00BB54AD">
              <w:rPr>
                <w:noProof/>
                <w:webHidden/>
              </w:rPr>
              <w:fldChar w:fldCharType="end"/>
            </w:r>
          </w:hyperlink>
        </w:p>
        <w:p w14:paraId="7568E3F0" w14:textId="74497905" w:rsidR="00BB54AD" w:rsidRDefault="001F712D">
          <w:pPr>
            <w:pStyle w:val="INNH1"/>
            <w:tabs>
              <w:tab w:val="right" w:leader="dot" w:pos="9060"/>
            </w:tabs>
            <w:rPr>
              <w:rFonts w:eastAsiaTheme="minorEastAsia"/>
              <w:noProof/>
              <w:color w:val="auto"/>
              <w:lang w:val="en-US"/>
            </w:rPr>
          </w:pPr>
          <w:hyperlink w:anchor="_Toc111796572" w:history="1">
            <w:r w:rsidR="00BB54AD" w:rsidRPr="007A7FC8">
              <w:rPr>
                <w:rStyle w:val="Hyperkobling"/>
                <w:noProof/>
              </w:rPr>
              <w:t>3.  Forskningsrådets rekrutteringsinnsats</w:t>
            </w:r>
            <w:r w:rsidR="00BB54AD">
              <w:rPr>
                <w:noProof/>
                <w:webHidden/>
              </w:rPr>
              <w:tab/>
            </w:r>
            <w:r w:rsidR="00BB54AD">
              <w:rPr>
                <w:noProof/>
                <w:webHidden/>
              </w:rPr>
              <w:fldChar w:fldCharType="begin"/>
            </w:r>
            <w:r w:rsidR="00BB54AD">
              <w:rPr>
                <w:noProof/>
                <w:webHidden/>
              </w:rPr>
              <w:instrText xml:space="preserve"> PAGEREF _Toc111796572 \h </w:instrText>
            </w:r>
            <w:r w:rsidR="00BB54AD">
              <w:rPr>
                <w:noProof/>
                <w:webHidden/>
              </w:rPr>
            </w:r>
            <w:r w:rsidR="00BB54AD">
              <w:rPr>
                <w:noProof/>
                <w:webHidden/>
              </w:rPr>
              <w:fldChar w:fldCharType="separate"/>
            </w:r>
            <w:r w:rsidR="00BB54AD">
              <w:rPr>
                <w:noProof/>
                <w:webHidden/>
              </w:rPr>
              <w:t>5</w:t>
            </w:r>
            <w:r w:rsidR="00BB54AD">
              <w:rPr>
                <w:noProof/>
                <w:webHidden/>
              </w:rPr>
              <w:fldChar w:fldCharType="end"/>
            </w:r>
          </w:hyperlink>
        </w:p>
        <w:p w14:paraId="53FD5AC2" w14:textId="6E2465D5" w:rsidR="00BB54AD" w:rsidRDefault="001F712D">
          <w:pPr>
            <w:pStyle w:val="INNH1"/>
            <w:tabs>
              <w:tab w:val="right" w:leader="dot" w:pos="9060"/>
            </w:tabs>
            <w:rPr>
              <w:rFonts w:eastAsiaTheme="minorEastAsia"/>
              <w:noProof/>
              <w:color w:val="auto"/>
              <w:lang w:val="en-US"/>
            </w:rPr>
          </w:pPr>
          <w:hyperlink w:anchor="_Toc111796573" w:history="1">
            <w:r w:rsidR="00BB54AD" w:rsidRPr="007A7FC8">
              <w:rPr>
                <w:rStyle w:val="Hyperkobling"/>
                <w:noProof/>
              </w:rPr>
              <w:t>4. Vurdering av porteføljen opp mot måloppnåelse</w:t>
            </w:r>
            <w:r w:rsidR="00BB54AD">
              <w:rPr>
                <w:noProof/>
                <w:webHidden/>
              </w:rPr>
              <w:tab/>
            </w:r>
            <w:r w:rsidR="00BB54AD">
              <w:rPr>
                <w:noProof/>
                <w:webHidden/>
              </w:rPr>
              <w:fldChar w:fldCharType="begin"/>
            </w:r>
            <w:r w:rsidR="00BB54AD">
              <w:rPr>
                <w:noProof/>
                <w:webHidden/>
              </w:rPr>
              <w:instrText xml:space="preserve"> PAGEREF _Toc111796573 \h </w:instrText>
            </w:r>
            <w:r w:rsidR="00BB54AD">
              <w:rPr>
                <w:noProof/>
                <w:webHidden/>
              </w:rPr>
            </w:r>
            <w:r w:rsidR="00BB54AD">
              <w:rPr>
                <w:noProof/>
                <w:webHidden/>
              </w:rPr>
              <w:fldChar w:fldCharType="separate"/>
            </w:r>
            <w:r w:rsidR="00BB54AD">
              <w:rPr>
                <w:noProof/>
                <w:webHidden/>
              </w:rPr>
              <w:t>7</w:t>
            </w:r>
            <w:r w:rsidR="00BB54AD">
              <w:rPr>
                <w:noProof/>
                <w:webHidden/>
              </w:rPr>
              <w:fldChar w:fldCharType="end"/>
            </w:r>
          </w:hyperlink>
        </w:p>
        <w:p w14:paraId="398FA5F6" w14:textId="216B6C1A" w:rsidR="00BB54AD" w:rsidRDefault="001F712D">
          <w:pPr>
            <w:pStyle w:val="INNH2"/>
            <w:tabs>
              <w:tab w:val="right" w:leader="dot" w:pos="9060"/>
            </w:tabs>
            <w:rPr>
              <w:rFonts w:eastAsiaTheme="minorEastAsia"/>
              <w:noProof/>
              <w:color w:val="auto"/>
              <w:lang w:val="en-US"/>
            </w:rPr>
          </w:pPr>
          <w:hyperlink w:anchor="_Toc111796574" w:history="1">
            <w:r w:rsidR="00BB54AD" w:rsidRPr="007A7FC8">
              <w:rPr>
                <w:rStyle w:val="Hyperkobling"/>
                <w:noProof/>
              </w:rPr>
              <w:t>4.1 Kvalitet</w:t>
            </w:r>
            <w:r w:rsidR="00BB54AD">
              <w:rPr>
                <w:noProof/>
                <w:webHidden/>
              </w:rPr>
              <w:tab/>
            </w:r>
            <w:r w:rsidR="00BB54AD">
              <w:rPr>
                <w:noProof/>
                <w:webHidden/>
              </w:rPr>
              <w:fldChar w:fldCharType="begin"/>
            </w:r>
            <w:r w:rsidR="00BB54AD">
              <w:rPr>
                <w:noProof/>
                <w:webHidden/>
              </w:rPr>
              <w:instrText xml:space="preserve"> PAGEREF _Toc111796574 \h </w:instrText>
            </w:r>
            <w:r w:rsidR="00BB54AD">
              <w:rPr>
                <w:noProof/>
                <w:webHidden/>
              </w:rPr>
            </w:r>
            <w:r w:rsidR="00BB54AD">
              <w:rPr>
                <w:noProof/>
                <w:webHidden/>
              </w:rPr>
              <w:fldChar w:fldCharType="separate"/>
            </w:r>
            <w:r w:rsidR="00BB54AD">
              <w:rPr>
                <w:noProof/>
                <w:webHidden/>
              </w:rPr>
              <w:t>7</w:t>
            </w:r>
            <w:r w:rsidR="00BB54AD">
              <w:rPr>
                <w:noProof/>
                <w:webHidden/>
              </w:rPr>
              <w:fldChar w:fldCharType="end"/>
            </w:r>
          </w:hyperlink>
        </w:p>
        <w:p w14:paraId="56DE8DE8" w14:textId="34AAD78C" w:rsidR="00BB54AD" w:rsidRDefault="001F712D">
          <w:pPr>
            <w:pStyle w:val="INNH2"/>
            <w:tabs>
              <w:tab w:val="right" w:leader="dot" w:pos="9060"/>
            </w:tabs>
            <w:rPr>
              <w:rFonts w:eastAsiaTheme="minorEastAsia"/>
              <w:noProof/>
              <w:color w:val="auto"/>
              <w:lang w:val="en-US"/>
            </w:rPr>
          </w:pPr>
          <w:hyperlink w:anchor="_Toc111796575" w:history="1">
            <w:r w:rsidR="00BB54AD" w:rsidRPr="007A7FC8">
              <w:rPr>
                <w:rStyle w:val="Hyperkobling"/>
                <w:noProof/>
              </w:rPr>
              <w:t>4.2 Kapasitet</w:t>
            </w:r>
            <w:r w:rsidR="00BB54AD">
              <w:rPr>
                <w:noProof/>
                <w:webHidden/>
              </w:rPr>
              <w:tab/>
            </w:r>
            <w:r w:rsidR="00BB54AD">
              <w:rPr>
                <w:noProof/>
                <w:webHidden/>
              </w:rPr>
              <w:fldChar w:fldCharType="begin"/>
            </w:r>
            <w:r w:rsidR="00BB54AD">
              <w:rPr>
                <w:noProof/>
                <w:webHidden/>
              </w:rPr>
              <w:instrText xml:space="preserve"> PAGEREF _Toc111796575 \h </w:instrText>
            </w:r>
            <w:r w:rsidR="00BB54AD">
              <w:rPr>
                <w:noProof/>
                <w:webHidden/>
              </w:rPr>
            </w:r>
            <w:r w:rsidR="00BB54AD">
              <w:rPr>
                <w:noProof/>
                <w:webHidden/>
              </w:rPr>
              <w:fldChar w:fldCharType="separate"/>
            </w:r>
            <w:r w:rsidR="00BB54AD">
              <w:rPr>
                <w:noProof/>
                <w:webHidden/>
              </w:rPr>
              <w:t>10</w:t>
            </w:r>
            <w:r w:rsidR="00BB54AD">
              <w:rPr>
                <w:noProof/>
                <w:webHidden/>
              </w:rPr>
              <w:fldChar w:fldCharType="end"/>
            </w:r>
          </w:hyperlink>
        </w:p>
        <w:p w14:paraId="32F6D852" w14:textId="70BF3C6F" w:rsidR="00BB54AD" w:rsidRDefault="001F712D">
          <w:pPr>
            <w:pStyle w:val="INNH2"/>
            <w:tabs>
              <w:tab w:val="right" w:leader="dot" w:pos="9060"/>
            </w:tabs>
            <w:rPr>
              <w:rFonts w:eastAsiaTheme="minorEastAsia"/>
              <w:noProof/>
              <w:color w:val="auto"/>
              <w:lang w:val="en-US"/>
            </w:rPr>
          </w:pPr>
          <w:hyperlink w:anchor="_Toc111796576" w:history="1">
            <w:r w:rsidR="00BB54AD" w:rsidRPr="007A7FC8">
              <w:rPr>
                <w:rStyle w:val="Hyperkobling"/>
                <w:noProof/>
              </w:rPr>
              <w:t>4.3 Kunnskapsflyt og sektorsamspill</w:t>
            </w:r>
            <w:r w:rsidR="00BB54AD">
              <w:rPr>
                <w:noProof/>
                <w:webHidden/>
              </w:rPr>
              <w:tab/>
            </w:r>
            <w:r w:rsidR="00BB54AD">
              <w:rPr>
                <w:noProof/>
                <w:webHidden/>
              </w:rPr>
              <w:fldChar w:fldCharType="begin"/>
            </w:r>
            <w:r w:rsidR="00BB54AD">
              <w:rPr>
                <w:noProof/>
                <w:webHidden/>
              </w:rPr>
              <w:instrText xml:space="preserve"> PAGEREF _Toc111796576 \h </w:instrText>
            </w:r>
            <w:r w:rsidR="00BB54AD">
              <w:rPr>
                <w:noProof/>
                <w:webHidden/>
              </w:rPr>
            </w:r>
            <w:r w:rsidR="00BB54AD">
              <w:rPr>
                <w:noProof/>
                <w:webHidden/>
              </w:rPr>
              <w:fldChar w:fldCharType="separate"/>
            </w:r>
            <w:r w:rsidR="00BB54AD">
              <w:rPr>
                <w:noProof/>
                <w:webHidden/>
              </w:rPr>
              <w:t>15</w:t>
            </w:r>
            <w:r w:rsidR="00BB54AD">
              <w:rPr>
                <w:noProof/>
                <w:webHidden/>
              </w:rPr>
              <w:fldChar w:fldCharType="end"/>
            </w:r>
          </w:hyperlink>
        </w:p>
        <w:p w14:paraId="42D58FDD" w14:textId="511E98C3" w:rsidR="00BB54AD" w:rsidRDefault="001F712D">
          <w:pPr>
            <w:pStyle w:val="INNH2"/>
            <w:tabs>
              <w:tab w:val="right" w:leader="dot" w:pos="9060"/>
            </w:tabs>
            <w:rPr>
              <w:rFonts w:eastAsiaTheme="minorEastAsia"/>
              <w:noProof/>
              <w:color w:val="auto"/>
              <w:lang w:val="en-US"/>
            </w:rPr>
          </w:pPr>
          <w:hyperlink w:anchor="_Toc111796577" w:history="1">
            <w:r w:rsidR="00BB54AD" w:rsidRPr="007A7FC8">
              <w:rPr>
                <w:rStyle w:val="Hyperkobling"/>
                <w:noProof/>
              </w:rPr>
              <w:t>4.4 Karriere</w:t>
            </w:r>
            <w:r w:rsidR="00BB54AD">
              <w:rPr>
                <w:noProof/>
                <w:webHidden/>
              </w:rPr>
              <w:tab/>
            </w:r>
            <w:r w:rsidR="00BB54AD">
              <w:rPr>
                <w:noProof/>
                <w:webHidden/>
              </w:rPr>
              <w:fldChar w:fldCharType="begin"/>
            </w:r>
            <w:r w:rsidR="00BB54AD">
              <w:rPr>
                <w:noProof/>
                <w:webHidden/>
              </w:rPr>
              <w:instrText xml:space="preserve"> PAGEREF _Toc111796577 \h </w:instrText>
            </w:r>
            <w:r w:rsidR="00BB54AD">
              <w:rPr>
                <w:noProof/>
                <w:webHidden/>
              </w:rPr>
            </w:r>
            <w:r w:rsidR="00BB54AD">
              <w:rPr>
                <w:noProof/>
                <w:webHidden/>
              </w:rPr>
              <w:fldChar w:fldCharType="separate"/>
            </w:r>
            <w:r w:rsidR="00BB54AD">
              <w:rPr>
                <w:noProof/>
                <w:webHidden/>
              </w:rPr>
              <w:t>18</w:t>
            </w:r>
            <w:r w:rsidR="00BB54AD">
              <w:rPr>
                <w:noProof/>
                <w:webHidden/>
              </w:rPr>
              <w:fldChar w:fldCharType="end"/>
            </w:r>
          </w:hyperlink>
        </w:p>
        <w:p w14:paraId="58E10033" w14:textId="15FCF578" w:rsidR="002660C0" w:rsidRDefault="002660C0">
          <w:r>
            <w:rPr>
              <w:b/>
              <w:bCs/>
            </w:rPr>
            <w:fldChar w:fldCharType="end"/>
          </w:r>
        </w:p>
      </w:sdtContent>
    </w:sdt>
    <w:p w14:paraId="314280CE" w14:textId="77777777" w:rsidR="002660C0" w:rsidRDefault="002660C0" w:rsidP="002660C0"/>
    <w:p w14:paraId="3B76E8E2" w14:textId="77777777" w:rsidR="002660C0" w:rsidRDefault="002660C0" w:rsidP="002660C0"/>
    <w:p w14:paraId="7D5C022F" w14:textId="77777777" w:rsidR="002660C0" w:rsidRDefault="002660C0">
      <w:pPr>
        <w:spacing w:after="200" w:line="276" w:lineRule="auto"/>
        <w:rPr>
          <w:rFonts w:eastAsiaTheme="majorEastAsia" w:cstheme="majorBidi"/>
          <w:b/>
          <w:bCs/>
          <w:sz w:val="36"/>
          <w:szCs w:val="36"/>
        </w:rPr>
      </w:pPr>
      <w:r>
        <w:rPr>
          <w:sz w:val="36"/>
          <w:szCs w:val="36"/>
        </w:rPr>
        <w:br w:type="page"/>
      </w:r>
    </w:p>
    <w:p w14:paraId="63E6DAFD" w14:textId="5BD1093B" w:rsidR="004F0F25" w:rsidRPr="00F101B8" w:rsidRDefault="00BD1ED8" w:rsidP="00A47159">
      <w:pPr>
        <w:pStyle w:val="Overskrift1"/>
        <w:ind w:firstLine="708"/>
        <w:rPr>
          <w:sz w:val="36"/>
          <w:szCs w:val="36"/>
        </w:rPr>
      </w:pPr>
      <w:bookmarkStart w:id="0" w:name="_Toc111796570"/>
      <w:r w:rsidRPr="00235288">
        <w:rPr>
          <w:sz w:val="36"/>
          <w:szCs w:val="36"/>
        </w:rPr>
        <w:lastRenderedPageBreak/>
        <w:t>1</w:t>
      </w:r>
      <w:r w:rsidR="00235288">
        <w:rPr>
          <w:sz w:val="36"/>
          <w:szCs w:val="36"/>
        </w:rPr>
        <w:t>.</w:t>
      </w:r>
      <w:r w:rsidRPr="00235288">
        <w:rPr>
          <w:sz w:val="36"/>
          <w:szCs w:val="36"/>
        </w:rPr>
        <w:t xml:space="preserve"> </w:t>
      </w:r>
      <w:r w:rsidR="004F0F25" w:rsidRPr="00235288">
        <w:rPr>
          <w:sz w:val="36"/>
          <w:szCs w:val="36"/>
        </w:rPr>
        <w:t>Omfang</w:t>
      </w:r>
      <w:bookmarkEnd w:id="0"/>
    </w:p>
    <w:p w14:paraId="2A6BF500" w14:textId="77777777" w:rsidR="004F0F25" w:rsidRPr="00A47159" w:rsidRDefault="004F0F25" w:rsidP="004F0F25">
      <w:pPr>
        <w:spacing w:after="0" w:line="240" w:lineRule="auto"/>
        <w:textAlignment w:val="baseline"/>
        <w:rPr>
          <w:rFonts w:ascii="Calibri" w:eastAsia="Times New Roman" w:hAnsi="Calibri" w:cs="Calibri"/>
          <w:color w:val="000000"/>
        </w:rPr>
      </w:pPr>
      <w:r w:rsidRPr="00A47159">
        <w:rPr>
          <w:rFonts w:ascii="Calibri" w:eastAsia="Times New Roman" w:hAnsi="Calibri" w:cs="Calibri"/>
          <w:color w:val="auto"/>
        </w:rPr>
        <w:t> </w:t>
      </w:r>
    </w:p>
    <w:p w14:paraId="0AA2D9B8" w14:textId="71AA71FB" w:rsidR="004F0F25" w:rsidRPr="004F0F25" w:rsidRDefault="00054811"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auto"/>
        </w:rPr>
        <w:t>Denne a</w:t>
      </w:r>
      <w:r w:rsidR="00A7004E">
        <w:rPr>
          <w:rFonts w:ascii="Calibri" w:eastAsia="Times New Roman" w:hAnsi="Calibri" w:cs="Calibri"/>
          <w:color w:val="auto"/>
        </w:rPr>
        <w:t xml:space="preserve">nalysen er kunnskapsgrunnlaget for </w:t>
      </w:r>
      <w:r>
        <w:rPr>
          <w:rFonts w:ascii="Calibri" w:eastAsia="Times New Roman" w:hAnsi="Calibri" w:cs="Calibri"/>
          <w:color w:val="auto"/>
        </w:rPr>
        <w:t>Forskningsråd</w:t>
      </w:r>
      <w:r w:rsidR="00EF1402">
        <w:rPr>
          <w:rFonts w:ascii="Calibri" w:eastAsia="Times New Roman" w:hAnsi="Calibri" w:cs="Calibri"/>
          <w:color w:val="auto"/>
        </w:rPr>
        <w:t xml:space="preserve">ets </w:t>
      </w:r>
      <w:r w:rsidR="00A7004E">
        <w:rPr>
          <w:rFonts w:ascii="Calibri" w:eastAsia="Times New Roman" w:hAnsi="Calibri" w:cs="Calibri"/>
          <w:color w:val="auto"/>
        </w:rPr>
        <w:t xml:space="preserve">plan for </w:t>
      </w:r>
      <w:r w:rsidR="00EF1402">
        <w:rPr>
          <w:rFonts w:ascii="Calibri" w:eastAsia="Times New Roman" w:hAnsi="Calibri" w:cs="Calibri"/>
          <w:color w:val="auto"/>
        </w:rPr>
        <w:t>forsker</w:t>
      </w:r>
      <w:r w:rsidR="00A7004E">
        <w:rPr>
          <w:rFonts w:ascii="Calibri" w:eastAsia="Times New Roman" w:hAnsi="Calibri" w:cs="Calibri"/>
          <w:color w:val="auto"/>
        </w:rPr>
        <w:t>rekruttering</w:t>
      </w:r>
      <w:r w:rsidR="00EF1402">
        <w:rPr>
          <w:rFonts w:ascii="Calibri" w:eastAsia="Times New Roman" w:hAnsi="Calibri" w:cs="Calibri"/>
          <w:color w:val="auto"/>
        </w:rPr>
        <w:t xml:space="preserve"> og tidlig karriere</w:t>
      </w:r>
      <w:r w:rsidR="00A7004E">
        <w:rPr>
          <w:rFonts w:ascii="Calibri" w:eastAsia="Times New Roman" w:hAnsi="Calibri" w:cs="Calibri"/>
          <w:color w:val="auto"/>
        </w:rPr>
        <w:t>. A</w:t>
      </w:r>
      <w:r w:rsidR="004F0F25" w:rsidRPr="004F0F25">
        <w:rPr>
          <w:rFonts w:ascii="Calibri" w:eastAsia="Times New Roman" w:hAnsi="Calibri" w:cs="Calibri"/>
          <w:color w:val="auto"/>
        </w:rPr>
        <w:t>nalysen er gjort på Forskningsrådets totale portefølje av prosjekter,</w:t>
      </w:r>
      <w:r w:rsidR="004F0F25" w:rsidRPr="004F0F25">
        <w:rPr>
          <w:rFonts w:ascii="Calibri" w:eastAsia="Times New Roman" w:hAnsi="Calibri" w:cs="Calibri"/>
          <w:color w:val="00328D"/>
        </w:rPr>
        <w:t xml:space="preserve"> </w:t>
      </w:r>
      <w:r w:rsidR="004F0F25" w:rsidRPr="004F0F25">
        <w:rPr>
          <w:rFonts w:ascii="Calibri" w:eastAsia="Times New Roman" w:hAnsi="Calibri" w:cs="Calibri"/>
          <w:color w:val="auto"/>
        </w:rPr>
        <w:t>d</w:t>
      </w:r>
      <w:r w:rsidR="00EF1402">
        <w:rPr>
          <w:rFonts w:ascii="Calibri" w:eastAsia="Times New Roman" w:hAnsi="Calibri" w:cs="Calibri"/>
          <w:color w:val="auto"/>
        </w:rPr>
        <w:t>et vil si</w:t>
      </w:r>
      <w:r w:rsidR="004F0F25" w:rsidRPr="004F0F25">
        <w:rPr>
          <w:rFonts w:ascii="Calibri" w:eastAsia="Times New Roman" w:hAnsi="Calibri" w:cs="Calibri"/>
          <w:color w:val="auto"/>
        </w:rPr>
        <w:t xml:space="preserve"> med utgangspunkt </w:t>
      </w:r>
      <w:r w:rsidR="001D72E3">
        <w:rPr>
          <w:rFonts w:ascii="Calibri" w:eastAsia="Times New Roman" w:hAnsi="Calibri" w:cs="Calibri"/>
          <w:color w:val="auto"/>
        </w:rPr>
        <w:t xml:space="preserve">i </w:t>
      </w:r>
      <w:r w:rsidR="00D778DD">
        <w:rPr>
          <w:rFonts w:ascii="Calibri" w:eastAsia="Times New Roman" w:hAnsi="Calibri" w:cs="Calibri"/>
          <w:color w:val="auto"/>
        </w:rPr>
        <w:t>den</w:t>
      </w:r>
      <w:r w:rsidR="005F328C">
        <w:rPr>
          <w:rFonts w:ascii="Calibri" w:eastAsia="Times New Roman" w:hAnsi="Calibri" w:cs="Calibri"/>
          <w:color w:val="auto"/>
        </w:rPr>
        <w:t xml:space="preserve"> </w:t>
      </w:r>
      <w:r w:rsidR="004F0F25" w:rsidRPr="004F0F25">
        <w:rPr>
          <w:rFonts w:ascii="Calibri" w:eastAsia="Times New Roman" w:hAnsi="Calibri" w:cs="Calibri"/>
          <w:color w:val="auto"/>
        </w:rPr>
        <w:t>samlede finansiering</w:t>
      </w:r>
      <w:r w:rsidR="005F328C">
        <w:rPr>
          <w:rFonts w:ascii="Calibri" w:eastAsia="Times New Roman" w:hAnsi="Calibri" w:cs="Calibri"/>
          <w:color w:val="auto"/>
        </w:rPr>
        <w:t>en</w:t>
      </w:r>
      <w:r w:rsidR="004F0F25" w:rsidRPr="004F0F25">
        <w:rPr>
          <w:rFonts w:ascii="Calibri" w:eastAsia="Times New Roman" w:hAnsi="Calibri" w:cs="Calibri"/>
          <w:color w:val="auto"/>
        </w:rPr>
        <w:t xml:space="preserve"> av rekrutteringsstillinger registrert i perioden 201</w:t>
      </w:r>
      <w:r w:rsidR="009F1899">
        <w:rPr>
          <w:rFonts w:ascii="Calibri" w:eastAsia="Times New Roman" w:hAnsi="Calibri" w:cs="Calibri"/>
          <w:color w:val="auto"/>
        </w:rPr>
        <w:t>2</w:t>
      </w:r>
      <w:r w:rsidR="004F0F25" w:rsidRPr="004F0F25">
        <w:rPr>
          <w:rFonts w:ascii="Calibri" w:eastAsia="Times New Roman" w:hAnsi="Calibri" w:cs="Calibri"/>
          <w:color w:val="auto"/>
        </w:rPr>
        <w:t>-202</w:t>
      </w:r>
      <w:r w:rsidR="009F1899">
        <w:rPr>
          <w:rFonts w:ascii="Calibri" w:eastAsia="Times New Roman" w:hAnsi="Calibri" w:cs="Calibri"/>
          <w:color w:val="auto"/>
        </w:rPr>
        <w:t>1</w:t>
      </w:r>
      <w:r w:rsidR="004F0F25" w:rsidRPr="004F0F25">
        <w:rPr>
          <w:rFonts w:ascii="Calibri" w:eastAsia="Times New Roman" w:hAnsi="Calibri" w:cs="Calibri"/>
          <w:color w:val="auto"/>
        </w:rPr>
        <w:t>.</w:t>
      </w:r>
      <w:r w:rsidR="00955AEB">
        <w:rPr>
          <w:rFonts w:ascii="Calibri" w:eastAsia="Times New Roman" w:hAnsi="Calibri" w:cs="Calibri"/>
          <w:color w:val="auto"/>
        </w:rPr>
        <w:t xml:space="preserve"> </w:t>
      </w:r>
      <w:r w:rsidR="00A7004E">
        <w:rPr>
          <w:rFonts w:ascii="Calibri" w:eastAsia="Times New Roman" w:hAnsi="Calibri" w:cs="Calibri"/>
          <w:color w:val="auto"/>
        </w:rPr>
        <w:t xml:space="preserve">Med rekrutteringsstillinger mener vi her </w:t>
      </w:r>
      <w:r w:rsidR="00D778DD">
        <w:rPr>
          <w:rFonts w:ascii="Calibri" w:eastAsia="Times New Roman" w:hAnsi="Calibri" w:cs="Calibri"/>
          <w:color w:val="auto"/>
        </w:rPr>
        <w:t>stipen</w:t>
      </w:r>
      <w:r w:rsidR="002652B8">
        <w:rPr>
          <w:rFonts w:ascii="Calibri" w:eastAsia="Times New Roman" w:hAnsi="Calibri" w:cs="Calibri"/>
          <w:color w:val="auto"/>
        </w:rPr>
        <w:t>d</w:t>
      </w:r>
      <w:r w:rsidR="00D778DD">
        <w:rPr>
          <w:rFonts w:ascii="Calibri" w:eastAsia="Times New Roman" w:hAnsi="Calibri" w:cs="Calibri"/>
          <w:color w:val="auto"/>
        </w:rPr>
        <w:t>iat</w:t>
      </w:r>
      <w:r w:rsidR="00A7004E">
        <w:rPr>
          <w:rFonts w:ascii="Calibri" w:eastAsia="Times New Roman" w:hAnsi="Calibri" w:cs="Calibri"/>
          <w:color w:val="auto"/>
        </w:rPr>
        <w:t xml:space="preserve">stillinger som har </w:t>
      </w:r>
      <w:r w:rsidR="00861586">
        <w:rPr>
          <w:rFonts w:ascii="Calibri" w:eastAsia="Times New Roman" w:hAnsi="Calibri" w:cs="Calibri"/>
          <w:color w:val="auto"/>
        </w:rPr>
        <w:t xml:space="preserve">fullført </w:t>
      </w:r>
      <w:r w:rsidR="00A7004E">
        <w:rPr>
          <w:rFonts w:ascii="Calibri" w:eastAsia="Times New Roman" w:hAnsi="Calibri" w:cs="Calibri"/>
          <w:color w:val="auto"/>
        </w:rPr>
        <w:t xml:space="preserve">doktorgrad som mål, og postdoktorstillingene som </w:t>
      </w:r>
      <w:r w:rsidR="0011285F">
        <w:rPr>
          <w:rFonts w:ascii="Calibri" w:eastAsia="Times New Roman" w:hAnsi="Calibri" w:cs="Calibri"/>
          <w:color w:val="auto"/>
        </w:rPr>
        <w:t>skal tilrettelegge for at postdoktor</w:t>
      </w:r>
      <w:r w:rsidR="005F328C">
        <w:rPr>
          <w:rFonts w:ascii="Calibri" w:eastAsia="Times New Roman" w:hAnsi="Calibri" w:cs="Calibri"/>
          <w:color w:val="auto"/>
        </w:rPr>
        <w:t>er</w:t>
      </w:r>
      <w:r w:rsidR="0011285F">
        <w:rPr>
          <w:rFonts w:ascii="Calibri" w:eastAsia="Times New Roman" w:hAnsi="Calibri" w:cs="Calibri"/>
          <w:color w:val="auto"/>
        </w:rPr>
        <w:t xml:space="preserve"> bygger opp en selvstendig forskerprofil, </w:t>
      </w:r>
      <w:r w:rsidR="005F328C">
        <w:rPr>
          <w:rFonts w:ascii="Calibri" w:eastAsia="Times New Roman" w:hAnsi="Calibri" w:cs="Calibri"/>
          <w:color w:val="auto"/>
        </w:rPr>
        <w:t xml:space="preserve">og </w:t>
      </w:r>
      <w:r w:rsidR="0011285F">
        <w:rPr>
          <w:rFonts w:ascii="Calibri" w:eastAsia="Times New Roman" w:hAnsi="Calibri" w:cs="Calibri"/>
          <w:color w:val="auto"/>
        </w:rPr>
        <w:t>der forskning er stillingens hovedfokus</w:t>
      </w:r>
      <w:r w:rsidR="0011285F">
        <w:rPr>
          <w:rStyle w:val="Fotnotereferanse"/>
          <w:rFonts w:ascii="Calibri" w:eastAsia="Times New Roman" w:hAnsi="Calibri" w:cs="Calibri"/>
          <w:color w:val="auto"/>
        </w:rPr>
        <w:footnoteReference w:id="2"/>
      </w:r>
      <w:r w:rsidR="0011285F">
        <w:rPr>
          <w:rFonts w:ascii="Calibri" w:eastAsia="Times New Roman" w:hAnsi="Calibri" w:cs="Calibri"/>
          <w:color w:val="auto"/>
        </w:rPr>
        <w:t>.</w:t>
      </w:r>
      <w:r w:rsidR="005F328C">
        <w:rPr>
          <w:rFonts w:ascii="Calibri" w:eastAsia="Times New Roman" w:hAnsi="Calibri" w:cs="Calibri"/>
          <w:color w:val="auto"/>
        </w:rPr>
        <w:t xml:space="preserve"> </w:t>
      </w:r>
      <w:r w:rsidR="00CD4E5E">
        <w:rPr>
          <w:rFonts w:ascii="Calibri" w:eastAsia="Times New Roman" w:hAnsi="Calibri" w:cs="Calibri"/>
          <w:color w:val="auto"/>
        </w:rPr>
        <w:t xml:space="preserve">Også andre virkemidler er inkludert, herunder </w:t>
      </w:r>
      <w:r w:rsidR="00FD3A31">
        <w:rPr>
          <w:rFonts w:ascii="Calibri" w:eastAsia="Times New Roman" w:hAnsi="Calibri" w:cs="Calibri"/>
          <w:color w:val="auto"/>
        </w:rPr>
        <w:t>f</w:t>
      </w:r>
      <w:r w:rsidR="00CD4E5E">
        <w:rPr>
          <w:rFonts w:ascii="Calibri" w:eastAsia="Times New Roman" w:hAnsi="Calibri" w:cs="Calibri"/>
          <w:color w:val="auto"/>
        </w:rPr>
        <w:t xml:space="preserve">orskerlinjer og </w:t>
      </w:r>
      <w:r w:rsidR="00FD3A31">
        <w:rPr>
          <w:rFonts w:ascii="Calibri" w:eastAsia="Times New Roman" w:hAnsi="Calibri" w:cs="Calibri"/>
          <w:color w:val="auto"/>
        </w:rPr>
        <w:t>n</w:t>
      </w:r>
      <w:r w:rsidR="00CD4E5E">
        <w:rPr>
          <w:rFonts w:ascii="Calibri" w:eastAsia="Times New Roman" w:hAnsi="Calibri" w:cs="Calibri"/>
          <w:color w:val="auto"/>
        </w:rPr>
        <w:t>asjonale forskerskoler.</w:t>
      </w:r>
    </w:p>
    <w:p w14:paraId="24871DB8" w14:textId="777777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 </w:t>
      </w:r>
    </w:p>
    <w:p w14:paraId="6E8BE652" w14:textId="3C174645"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Rekruttering inngår i alle Forskningsrådets 16 tematiske og faglige porteføljer. I tillegg finansieres en stor andel rekrutteringsstillinger gjennom sentre</w:t>
      </w:r>
      <w:r w:rsidR="005B62BF">
        <w:rPr>
          <w:rFonts w:ascii="Calibri" w:eastAsia="Times New Roman" w:hAnsi="Calibri" w:cs="Calibri"/>
          <w:color w:val="auto"/>
        </w:rPr>
        <w:t xml:space="preserve"> for fremragende forskning (</w:t>
      </w:r>
      <w:r w:rsidR="005B62BF" w:rsidRPr="004F0F25">
        <w:rPr>
          <w:rFonts w:ascii="Calibri" w:eastAsia="Times New Roman" w:hAnsi="Calibri" w:cs="Calibri"/>
          <w:color w:val="auto"/>
        </w:rPr>
        <w:t>SFF</w:t>
      </w:r>
      <w:r w:rsidR="005B62BF">
        <w:rPr>
          <w:rFonts w:ascii="Calibri" w:eastAsia="Times New Roman" w:hAnsi="Calibri" w:cs="Calibri"/>
          <w:color w:val="auto"/>
        </w:rPr>
        <w:t>)</w:t>
      </w:r>
      <w:r w:rsidR="005B62BF" w:rsidRPr="004F0F25">
        <w:rPr>
          <w:rFonts w:ascii="Calibri" w:eastAsia="Times New Roman" w:hAnsi="Calibri" w:cs="Calibri"/>
          <w:color w:val="auto"/>
        </w:rPr>
        <w:t>,</w:t>
      </w:r>
      <w:r w:rsidR="005B62BF">
        <w:rPr>
          <w:rFonts w:ascii="Calibri" w:eastAsia="Times New Roman" w:hAnsi="Calibri" w:cs="Calibri"/>
          <w:color w:val="auto"/>
        </w:rPr>
        <w:t xml:space="preserve"> </w:t>
      </w:r>
      <w:r w:rsidR="00F74893">
        <w:rPr>
          <w:rFonts w:ascii="Calibri" w:eastAsia="Times New Roman" w:hAnsi="Calibri" w:cs="Calibri"/>
          <w:color w:val="auto"/>
        </w:rPr>
        <w:t>s</w:t>
      </w:r>
      <w:r w:rsidR="005B62BF">
        <w:rPr>
          <w:rFonts w:ascii="Calibri" w:eastAsia="Times New Roman" w:hAnsi="Calibri" w:cs="Calibri"/>
          <w:color w:val="auto"/>
        </w:rPr>
        <w:t xml:space="preserve">entre for forskningsdrevet </w:t>
      </w:r>
      <w:r w:rsidR="009320F3">
        <w:rPr>
          <w:rFonts w:ascii="Calibri" w:eastAsia="Times New Roman" w:hAnsi="Calibri" w:cs="Calibri"/>
          <w:color w:val="auto"/>
        </w:rPr>
        <w:t>innovasjon</w:t>
      </w:r>
      <w:r w:rsidR="005B62BF">
        <w:rPr>
          <w:rFonts w:ascii="Calibri" w:eastAsia="Times New Roman" w:hAnsi="Calibri" w:cs="Calibri"/>
          <w:color w:val="auto"/>
        </w:rPr>
        <w:t xml:space="preserve"> (</w:t>
      </w:r>
      <w:r w:rsidR="005B62BF" w:rsidRPr="004F0F25">
        <w:rPr>
          <w:rFonts w:ascii="Calibri" w:eastAsia="Times New Roman" w:hAnsi="Calibri" w:cs="Calibri"/>
          <w:color w:val="auto"/>
        </w:rPr>
        <w:t>SFI</w:t>
      </w:r>
      <w:r w:rsidR="005B62BF">
        <w:rPr>
          <w:rFonts w:ascii="Calibri" w:eastAsia="Times New Roman" w:hAnsi="Calibri" w:cs="Calibri"/>
          <w:color w:val="auto"/>
        </w:rPr>
        <w:t>)</w:t>
      </w:r>
      <w:r w:rsidRPr="004F0F25">
        <w:rPr>
          <w:rFonts w:ascii="Calibri" w:eastAsia="Times New Roman" w:hAnsi="Calibri" w:cs="Calibri"/>
          <w:color w:val="auto"/>
        </w:rPr>
        <w:t xml:space="preserve">, </w:t>
      </w:r>
      <w:r w:rsidR="00F74893">
        <w:rPr>
          <w:rFonts w:ascii="Calibri" w:eastAsia="Times New Roman" w:hAnsi="Calibri" w:cs="Calibri"/>
          <w:color w:val="auto"/>
        </w:rPr>
        <w:t>n</w:t>
      </w:r>
      <w:r w:rsidR="00724E78" w:rsidRPr="00724E78">
        <w:rPr>
          <w:rFonts w:ascii="Calibri" w:eastAsia="Times New Roman" w:hAnsi="Calibri" w:cs="Calibri"/>
          <w:color w:val="auto"/>
        </w:rPr>
        <w:t>ærings-ph.d.</w:t>
      </w:r>
      <w:r w:rsidR="00724E78">
        <w:rPr>
          <w:rFonts w:ascii="Calibri" w:eastAsia="Times New Roman" w:hAnsi="Calibri" w:cs="Calibri"/>
          <w:color w:val="auto"/>
        </w:rPr>
        <w:t xml:space="preserve"> </w:t>
      </w:r>
      <w:r w:rsidR="00724E78" w:rsidRPr="004F0F25">
        <w:rPr>
          <w:rFonts w:ascii="Calibri" w:eastAsia="Times New Roman" w:hAnsi="Calibri" w:cs="Calibri"/>
          <w:color w:val="auto"/>
        </w:rPr>
        <w:t xml:space="preserve">og </w:t>
      </w:r>
      <w:r w:rsidR="00F74893">
        <w:rPr>
          <w:rFonts w:ascii="Calibri" w:eastAsia="Times New Roman" w:hAnsi="Calibri" w:cs="Calibri"/>
          <w:color w:val="auto"/>
        </w:rPr>
        <w:t>o</w:t>
      </w:r>
      <w:r w:rsidR="00724E78" w:rsidRPr="00724E78">
        <w:rPr>
          <w:rFonts w:ascii="Calibri" w:eastAsia="Times New Roman" w:hAnsi="Calibri" w:cs="Calibri"/>
          <w:color w:val="auto"/>
        </w:rPr>
        <w:t>ffentlig sektor-ph.d</w:t>
      </w:r>
      <w:r w:rsidRPr="004F0F25">
        <w:rPr>
          <w:rFonts w:ascii="Calibri" w:eastAsia="Times New Roman" w:hAnsi="Calibri" w:cs="Calibri"/>
          <w:color w:val="auto"/>
        </w:rPr>
        <w:t>.</w:t>
      </w:r>
      <w:r w:rsidR="0066796C">
        <w:rPr>
          <w:rFonts w:ascii="Calibri" w:eastAsia="Times New Roman" w:hAnsi="Calibri" w:cs="Calibri"/>
          <w:color w:val="auto"/>
        </w:rPr>
        <w:t xml:space="preserve"> D</w:t>
      </w:r>
      <w:r w:rsidR="00F74893">
        <w:rPr>
          <w:rFonts w:ascii="Calibri" w:eastAsia="Times New Roman" w:hAnsi="Calibri" w:cs="Calibri"/>
          <w:color w:val="auto"/>
        </w:rPr>
        <w:t>isse ordningen</w:t>
      </w:r>
      <w:r w:rsidR="00692C2F">
        <w:rPr>
          <w:rFonts w:ascii="Calibri" w:eastAsia="Times New Roman" w:hAnsi="Calibri" w:cs="Calibri"/>
          <w:color w:val="auto"/>
        </w:rPr>
        <w:t>e</w:t>
      </w:r>
      <w:r w:rsidR="0066796C">
        <w:rPr>
          <w:rFonts w:ascii="Calibri" w:eastAsia="Times New Roman" w:hAnsi="Calibri" w:cs="Calibri"/>
          <w:color w:val="auto"/>
        </w:rPr>
        <w:t xml:space="preserve"> utgjør </w:t>
      </w:r>
      <w:r w:rsidR="007157C2">
        <w:rPr>
          <w:rFonts w:ascii="Calibri" w:eastAsia="Times New Roman" w:hAnsi="Calibri" w:cs="Calibri"/>
          <w:color w:val="auto"/>
        </w:rPr>
        <w:t xml:space="preserve">egne </w:t>
      </w:r>
      <w:r w:rsidR="0066796C">
        <w:rPr>
          <w:rFonts w:ascii="Calibri" w:eastAsia="Times New Roman" w:hAnsi="Calibri" w:cs="Calibri"/>
          <w:color w:val="auto"/>
        </w:rPr>
        <w:t>satsingsområde</w:t>
      </w:r>
      <w:r w:rsidR="00795376">
        <w:rPr>
          <w:rFonts w:ascii="Calibri" w:eastAsia="Times New Roman" w:hAnsi="Calibri" w:cs="Calibri"/>
          <w:color w:val="auto"/>
        </w:rPr>
        <w:t>r</w:t>
      </w:r>
      <w:r w:rsidR="0066796C">
        <w:rPr>
          <w:rFonts w:ascii="Calibri" w:eastAsia="Times New Roman" w:hAnsi="Calibri" w:cs="Calibri"/>
          <w:color w:val="auto"/>
        </w:rPr>
        <w:t xml:space="preserve">, som i denne sammenheng blir behandlet som porteføljer. </w:t>
      </w:r>
      <w:r w:rsidR="002A3EDD">
        <w:rPr>
          <w:rFonts w:ascii="Calibri" w:eastAsia="Times New Roman" w:hAnsi="Calibri" w:cs="Calibri"/>
          <w:color w:val="auto"/>
        </w:rPr>
        <w:t xml:space="preserve">Dette for </w:t>
      </w:r>
      <w:r w:rsidR="00B47DFA">
        <w:rPr>
          <w:rFonts w:ascii="Calibri" w:eastAsia="Times New Roman" w:hAnsi="Calibri" w:cs="Calibri"/>
          <w:color w:val="auto"/>
        </w:rPr>
        <w:t xml:space="preserve">å </w:t>
      </w:r>
      <w:r w:rsidR="002A3EDD">
        <w:rPr>
          <w:rFonts w:ascii="Calibri" w:eastAsia="Times New Roman" w:hAnsi="Calibri" w:cs="Calibri"/>
          <w:color w:val="auto"/>
        </w:rPr>
        <w:t xml:space="preserve">kunne gjøre gode sammenlikninger og gi </w:t>
      </w:r>
      <w:r w:rsidR="005C30B8">
        <w:rPr>
          <w:rFonts w:ascii="Calibri" w:eastAsia="Times New Roman" w:hAnsi="Calibri" w:cs="Calibri"/>
          <w:color w:val="auto"/>
        </w:rPr>
        <w:t xml:space="preserve">et helhetlig bilde av Forskningsrådets </w:t>
      </w:r>
      <w:r w:rsidR="0066796C">
        <w:rPr>
          <w:rFonts w:ascii="Calibri" w:eastAsia="Times New Roman" w:hAnsi="Calibri" w:cs="Calibri"/>
          <w:color w:val="auto"/>
        </w:rPr>
        <w:t xml:space="preserve">samlede </w:t>
      </w:r>
      <w:r w:rsidR="005C30B8">
        <w:rPr>
          <w:rFonts w:ascii="Calibri" w:eastAsia="Times New Roman" w:hAnsi="Calibri" w:cs="Calibri"/>
          <w:color w:val="auto"/>
        </w:rPr>
        <w:t xml:space="preserve">innsats på </w:t>
      </w:r>
      <w:r w:rsidR="0066796C">
        <w:rPr>
          <w:rFonts w:ascii="Calibri" w:eastAsia="Times New Roman" w:hAnsi="Calibri" w:cs="Calibri"/>
          <w:color w:val="auto"/>
        </w:rPr>
        <w:t>området</w:t>
      </w:r>
      <w:r w:rsidR="002A3EDD">
        <w:rPr>
          <w:rFonts w:ascii="Calibri" w:eastAsia="Times New Roman" w:hAnsi="Calibri" w:cs="Calibri"/>
          <w:color w:val="auto"/>
        </w:rPr>
        <w:t>.</w:t>
      </w:r>
      <w:r w:rsidR="0066796C">
        <w:rPr>
          <w:rFonts w:ascii="Calibri" w:eastAsia="Times New Roman" w:hAnsi="Calibri" w:cs="Calibri"/>
          <w:color w:val="auto"/>
        </w:rPr>
        <w:t xml:space="preserve"> </w:t>
      </w:r>
      <w:r w:rsidRPr="004F0F25">
        <w:rPr>
          <w:rFonts w:ascii="Calibri" w:eastAsia="Times New Roman" w:hAnsi="Calibri" w:cs="Calibri"/>
          <w:color w:val="auto"/>
        </w:rPr>
        <w:t xml:space="preserve"> </w:t>
      </w:r>
      <w:r w:rsidR="00EF077D">
        <w:rPr>
          <w:rFonts w:ascii="Calibri" w:eastAsia="Times New Roman" w:hAnsi="Calibri" w:cs="Calibri"/>
          <w:color w:val="auto"/>
        </w:rPr>
        <w:t xml:space="preserve">Samtlige </w:t>
      </w:r>
      <w:r w:rsidRPr="004F0F25">
        <w:rPr>
          <w:rFonts w:ascii="Calibri" w:eastAsia="Times New Roman" w:hAnsi="Calibri" w:cs="Calibri"/>
          <w:color w:val="auto"/>
        </w:rPr>
        <w:t>portefølje</w:t>
      </w:r>
      <w:r w:rsidR="00EF077D">
        <w:rPr>
          <w:rFonts w:ascii="Calibri" w:eastAsia="Times New Roman" w:hAnsi="Calibri" w:cs="Calibri"/>
          <w:color w:val="auto"/>
        </w:rPr>
        <w:t xml:space="preserve">r </w:t>
      </w:r>
      <w:r w:rsidRPr="004F0F25">
        <w:rPr>
          <w:rFonts w:ascii="Calibri" w:eastAsia="Times New Roman" w:hAnsi="Calibri" w:cs="Calibri"/>
          <w:color w:val="auto"/>
        </w:rPr>
        <w:t xml:space="preserve">og </w:t>
      </w:r>
      <w:r w:rsidR="002A3EDD">
        <w:rPr>
          <w:rFonts w:ascii="Calibri" w:eastAsia="Times New Roman" w:hAnsi="Calibri" w:cs="Calibri"/>
          <w:color w:val="auto"/>
        </w:rPr>
        <w:t>satsingsområde</w:t>
      </w:r>
      <w:r w:rsidR="00613161">
        <w:rPr>
          <w:rFonts w:ascii="Calibri" w:eastAsia="Times New Roman" w:hAnsi="Calibri" w:cs="Calibri"/>
          <w:color w:val="auto"/>
        </w:rPr>
        <w:t>r</w:t>
      </w:r>
      <w:r w:rsidR="002A3EDD">
        <w:rPr>
          <w:rFonts w:ascii="Calibri" w:eastAsia="Times New Roman" w:hAnsi="Calibri" w:cs="Calibri"/>
          <w:color w:val="auto"/>
        </w:rPr>
        <w:t xml:space="preserve"> bidrar til</w:t>
      </w:r>
      <w:r w:rsidRPr="004F0F25">
        <w:rPr>
          <w:rFonts w:ascii="Calibri" w:eastAsia="Times New Roman" w:hAnsi="Calibri" w:cs="Calibri"/>
          <w:color w:val="auto"/>
        </w:rPr>
        <w:t xml:space="preserve"> rekrutteringen innenfor sine områder</w:t>
      </w:r>
      <w:r w:rsidR="002A3EDD">
        <w:rPr>
          <w:rFonts w:ascii="Calibri" w:eastAsia="Times New Roman" w:hAnsi="Calibri" w:cs="Calibri"/>
          <w:color w:val="auto"/>
        </w:rPr>
        <w:t>, og inngår i Forskning</w:t>
      </w:r>
      <w:r w:rsidR="00CD4E5E">
        <w:rPr>
          <w:rFonts w:ascii="Calibri" w:eastAsia="Times New Roman" w:hAnsi="Calibri" w:cs="Calibri"/>
          <w:color w:val="auto"/>
        </w:rPr>
        <w:t>s</w:t>
      </w:r>
      <w:r w:rsidR="002A3EDD">
        <w:rPr>
          <w:rFonts w:ascii="Calibri" w:eastAsia="Times New Roman" w:hAnsi="Calibri" w:cs="Calibri"/>
          <w:color w:val="auto"/>
        </w:rPr>
        <w:t>rådets samlede satsing på rekruttering</w:t>
      </w:r>
      <w:r w:rsidRPr="004F0F25">
        <w:rPr>
          <w:rFonts w:ascii="Calibri" w:eastAsia="Times New Roman" w:hAnsi="Calibri" w:cs="Calibri"/>
          <w:color w:val="auto"/>
        </w:rPr>
        <w:t>.  </w:t>
      </w:r>
    </w:p>
    <w:p w14:paraId="080FC6C3" w14:textId="777777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 </w:t>
      </w:r>
    </w:p>
    <w:p w14:paraId="6048DAC3" w14:textId="4A1338FD"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 xml:space="preserve">I analysen </w:t>
      </w:r>
      <w:r w:rsidR="00EF077D">
        <w:rPr>
          <w:rFonts w:ascii="Calibri" w:eastAsia="Times New Roman" w:hAnsi="Calibri" w:cs="Calibri"/>
          <w:color w:val="auto"/>
        </w:rPr>
        <w:t xml:space="preserve">har vi </w:t>
      </w:r>
      <w:r w:rsidRPr="004F0F25">
        <w:rPr>
          <w:rFonts w:ascii="Calibri" w:eastAsia="Times New Roman" w:hAnsi="Calibri" w:cs="Calibri"/>
          <w:color w:val="auto"/>
        </w:rPr>
        <w:t>s</w:t>
      </w:r>
      <w:r w:rsidR="00EF077D">
        <w:rPr>
          <w:rFonts w:ascii="Calibri" w:eastAsia="Times New Roman" w:hAnsi="Calibri" w:cs="Calibri"/>
          <w:color w:val="auto"/>
        </w:rPr>
        <w:t>ett</w:t>
      </w:r>
      <w:r w:rsidRPr="004F0F25">
        <w:rPr>
          <w:rFonts w:ascii="Calibri" w:eastAsia="Times New Roman" w:hAnsi="Calibri" w:cs="Calibri"/>
          <w:color w:val="auto"/>
        </w:rPr>
        <w:t xml:space="preserve"> vi på utviklingstrekk i finansieringen av doktorgrads- og postdoktorstillinger knyttet til fagområde, hovedaktivitet, sektor, kjønn, utenlandsstipend og mobilitetsstipend. </w:t>
      </w:r>
      <w:r w:rsidR="00B07ECE">
        <w:rPr>
          <w:rFonts w:ascii="Calibri" w:eastAsia="Times New Roman" w:hAnsi="Calibri" w:cs="Calibri"/>
          <w:color w:val="auto"/>
        </w:rPr>
        <w:t>Vi</w:t>
      </w:r>
      <w:r w:rsidR="00CD4E5E">
        <w:rPr>
          <w:rFonts w:ascii="Calibri" w:eastAsia="Times New Roman" w:hAnsi="Calibri" w:cs="Calibri"/>
          <w:color w:val="auto"/>
        </w:rPr>
        <w:t xml:space="preserve"> </w:t>
      </w:r>
      <w:r w:rsidR="00B07ECE">
        <w:rPr>
          <w:rFonts w:ascii="Calibri" w:eastAsia="Times New Roman" w:hAnsi="Calibri" w:cs="Calibri"/>
          <w:color w:val="auto"/>
        </w:rPr>
        <w:t>har også</w:t>
      </w:r>
      <w:r w:rsidR="00744EF4">
        <w:rPr>
          <w:rFonts w:ascii="Calibri" w:eastAsia="Times New Roman" w:hAnsi="Calibri" w:cs="Calibri"/>
          <w:color w:val="auto"/>
        </w:rPr>
        <w:t xml:space="preserve"> sammenliknet portefølje</w:t>
      </w:r>
      <w:r w:rsidR="00EF077D">
        <w:rPr>
          <w:rFonts w:ascii="Calibri" w:eastAsia="Times New Roman" w:hAnsi="Calibri" w:cs="Calibri"/>
          <w:color w:val="auto"/>
        </w:rPr>
        <w:t>r</w:t>
      </w:r>
      <w:r w:rsidR="00744EF4">
        <w:rPr>
          <w:rFonts w:ascii="Calibri" w:eastAsia="Times New Roman" w:hAnsi="Calibri" w:cs="Calibri"/>
          <w:color w:val="auto"/>
        </w:rPr>
        <w:t xml:space="preserve"> og satsingsområde</w:t>
      </w:r>
      <w:r w:rsidR="00EF077D">
        <w:rPr>
          <w:rFonts w:ascii="Calibri" w:eastAsia="Times New Roman" w:hAnsi="Calibri" w:cs="Calibri"/>
          <w:color w:val="auto"/>
        </w:rPr>
        <w:t>r for</w:t>
      </w:r>
      <w:r w:rsidR="0048260F" w:rsidRPr="004F0F25">
        <w:rPr>
          <w:rFonts w:ascii="Calibri" w:eastAsia="Times New Roman" w:hAnsi="Calibri" w:cs="Calibri"/>
          <w:color w:val="auto"/>
        </w:rPr>
        <w:t xml:space="preserve"> perioden 201</w:t>
      </w:r>
      <w:r w:rsidR="0048260F">
        <w:rPr>
          <w:rFonts w:ascii="Calibri" w:eastAsia="Times New Roman" w:hAnsi="Calibri" w:cs="Calibri"/>
          <w:color w:val="auto"/>
        </w:rPr>
        <w:t>9</w:t>
      </w:r>
      <w:r w:rsidR="0048260F" w:rsidRPr="004F0F25">
        <w:rPr>
          <w:rFonts w:ascii="Calibri" w:eastAsia="Times New Roman" w:hAnsi="Calibri" w:cs="Calibri"/>
          <w:color w:val="auto"/>
        </w:rPr>
        <w:t>-202</w:t>
      </w:r>
      <w:r w:rsidR="0048260F">
        <w:rPr>
          <w:rFonts w:ascii="Calibri" w:eastAsia="Times New Roman" w:hAnsi="Calibri" w:cs="Calibri"/>
          <w:color w:val="auto"/>
        </w:rPr>
        <w:t>1</w:t>
      </w:r>
      <w:r w:rsidR="007A0E60">
        <w:rPr>
          <w:rFonts w:ascii="Calibri" w:eastAsia="Times New Roman" w:hAnsi="Calibri" w:cs="Calibri"/>
          <w:color w:val="auto"/>
        </w:rPr>
        <w:t>,</w:t>
      </w:r>
      <w:r w:rsidR="0048260F" w:rsidRPr="004F0F25">
        <w:rPr>
          <w:rFonts w:ascii="Calibri" w:eastAsia="Times New Roman" w:hAnsi="Calibri" w:cs="Calibri"/>
          <w:color w:val="auto"/>
        </w:rPr>
        <w:t> </w:t>
      </w:r>
      <w:r w:rsidR="0048260F">
        <w:rPr>
          <w:rFonts w:ascii="Calibri" w:eastAsia="Times New Roman" w:hAnsi="Calibri" w:cs="Calibri"/>
          <w:color w:val="auto"/>
        </w:rPr>
        <w:t xml:space="preserve">og </w:t>
      </w:r>
      <w:r w:rsidR="007A0E60">
        <w:rPr>
          <w:rFonts w:ascii="Calibri" w:eastAsia="Times New Roman" w:hAnsi="Calibri" w:cs="Calibri"/>
          <w:color w:val="auto"/>
        </w:rPr>
        <w:t xml:space="preserve">sett på </w:t>
      </w:r>
      <w:r w:rsidR="0048260F">
        <w:rPr>
          <w:rFonts w:ascii="Calibri" w:eastAsia="Times New Roman" w:hAnsi="Calibri" w:cs="Calibri"/>
          <w:color w:val="auto"/>
        </w:rPr>
        <w:t xml:space="preserve">hvordan stipendiatstillingene fordeler seg </w:t>
      </w:r>
      <w:r w:rsidR="00CD4E5E">
        <w:rPr>
          <w:rFonts w:ascii="Calibri" w:eastAsia="Times New Roman" w:hAnsi="Calibri" w:cs="Calibri"/>
          <w:color w:val="auto"/>
        </w:rPr>
        <w:t>etter</w:t>
      </w:r>
      <w:r w:rsidR="0048260F">
        <w:rPr>
          <w:rFonts w:ascii="Calibri" w:eastAsia="Times New Roman" w:hAnsi="Calibri" w:cs="Calibri"/>
          <w:color w:val="auto"/>
        </w:rPr>
        <w:t xml:space="preserve"> </w:t>
      </w:r>
      <w:r w:rsidR="0029020C">
        <w:rPr>
          <w:rFonts w:ascii="Calibri" w:eastAsia="Times New Roman" w:hAnsi="Calibri" w:cs="Calibri"/>
          <w:color w:val="auto"/>
        </w:rPr>
        <w:t xml:space="preserve">følgende </w:t>
      </w:r>
      <w:r w:rsidR="00CD4E5E">
        <w:rPr>
          <w:rFonts w:ascii="Calibri" w:eastAsia="Times New Roman" w:hAnsi="Calibri" w:cs="Calibri"/>
          <w:color w:val="auto"/>
        </w:rPr>
        <w:t>dimensjoner</w:t>
      </w:r>
      <w:r w:rsidR="0029020C">
        <w:rPr>
          <w:rFonts w:ascii="Calibri" w:eastAsia="Times New Roman" w:hAnsi="Calibri" w:cs="Calibri"/>
          <w:color w:val="auto"/>
        </w:rPr>
        <w:t>:</w:t>
      </w:r>
    </w:p>
    <w:p w14:paraId="72B5A865" w14:textId="77777777" w:rsidR="004F0F25" w:rsidRPr="004F0F25" w:rsidRDefault="004F0F25" w:rsidP="004F0F25">
      <w:pPr>
        <w:numPr>
          <w:ilvl w:val="0"/>
          <w:numId w:val="2"/>
        </w:numPr>
        <w:spacing w:after="0" w:line="240" w:lineRule="auto"/>
        <w:ind w:left="1080" w:firstLine="0"/>
        <w:textAlignment w:val="baseline"/>
        <w:rPr>
          <w:rFonts w:ascii="Calibri" w:eastAsia="Times New Roman" w:hAnsi="Calibri" w:cs="Calibri"/>
          <w:color w:val="000000"/>
          <w:lang w:val="en-US"/>
        </w:rPr>
      </w:pPr>
      <w:r w:rsidRPr="004F0F25">
        <w:rPr>
          <w:rFonts w:ascii="Calibri" w:eastAsia="Times New Roman" w:hAnsi="Calibri" w:cs="Calibri"/>
          <w:color w:val="000000"/>
        </w:rPr>
        <w:t>Fagområder</w:t>
      </w:r>
      <w:r w:rsidRPr="004F0F25">
        <w:rPr>
          <w:rFonts w:ascii="Calibri" w:eastAsia="Times New Roman" w:hAnsi="Calibri" w:cs="Calibri"/>
          <w:color w:val="000000"/>
          <w:lang w:val="en-US"/>
        </w:rPr>
        <w:t> </w:t>
      </w:r>
    </w:p>
    <w:p w14:paraId="3E0A2E0B" w14:textId="77777777" w:rsidR="004F0F25" w:rsidRPr="004F0F25" w:rsidRDefault="004F0F25" w:rsidP="004F0F25">
      <w:pPr>
        <w:numPr>
          <w:ilvl w:val="0"/>
          <w:numId w:val="2"/>
        </w:numPr>
        <w:spacing w:after="0" w:line="240" w:lineRule="auto"/>
        <w:ind w:left="1080" w:firstLine="0"/>
        <w:textAlignment w:val="baseline"/>
        <w:rPr>
          <w:rFonts w:ascii="Calibri" w:eastAsia="Times New Roman" w:hAnsi="Calibri" w:cs="Calibri"/>
          <w:color w:val="000000"/>
          <w:lang w:val="en-US"/>
        </w:rPr>
      </w:pPr>
      <w:r w:rsidRPr="004F0F25">
        <w:rPr>
          <w:rFonts w:ascii="Calibri" w:eastAsia="Times New Roman" w:hAnsi="Calibri" w:cs="Calibri"/>
          <w:color w:val="000000"/>
        </w:rPr>
        <w:t>Kjønn</w:t>
      </w:r>
      <w:r w:rsidRPr="004F0F25">
        <w:rPr>
          <w:rFonts w:ascii="Calibri" w:eastAsia="Times New Roman" w:hAnsi="Calibri" w:cs="Calibri"/>
          <w:color w:val="000000"/>
          <w:lang w:val="en-US"/>
        </w:rPr>
        <w:t> </w:t>
      </w:r>
    </w:p>
    <w:p w14:paraId="27951F82" w14:textId="3458D01D" w:rsidR="004F0F25" w:rsidRPr="004F0F25" w:rsidRDefault="004F0F25" w:rsidP="004F0F25">
      <w:pPr>
        <w:numPr>
          <w:ilvl w:val="0"/>
          <w:numId w:val="2"/>
        </w:numPr>
        <w:spacing w:after="0" w:line="240" w:lineRule="auto"/>
        <w:ind w:left="1080" w:firstLine="0"/>
        <w:textAlignment w:val="baseline"/>
        <w:rPr>
          <w:rFonts w:ascii="Calibri" w:eastAsia="Times New Roman" w:hAnsi="Calibri" w:cs="Calibri"/>
          <w:color w:val="000000"/>
          <w:lang w:val="en-US"/>
        </w:rPr>
      </w:pPr>
      <w:r w:rsidRPr="004F0F25">
        <w:rPr>
          <w:rFonts w:ascii="Calibri" w:eastAsia="Times New Roman" w:hAnsi="Calibri" w:cs="Calibri"/>
          <w:color w:val="000000"/>
        </w:rPr>
        <w:t>Hovedaktivitet</w:t>
      </w:r>
      <w:r w:rsidRPr="004F0F25">
        <w:rPr>
          <w:rFonts w:ascii="Calibri" w:eastAsia="Times New Roman" w:hAnsi="Calibri" w:cs="Calibri"/>
          <w:color w:val="000000"/>
          <w:lang w:val="en-US"/>
        </w:rPr>
        <w:t> </w:t>
      </w:r>
    </w:p>
    <w:p w14:paraId="1EE68AF5" w14:textId="6FA69941" w:rsidR="004F0F25" w:rsidRPr="004F0F25" w:rsidRDefault="004F0F25" w:rsidP="004F0F25">
      <w:pPr>
        <w:numPr>
          <w:ilvl w:val="0"/>
          <w:numId w:val="2"/>
        </w:numPr>
        <w:spacing w:after="0" w:line="240" w:lineRule="auto"/>
        <w:ind w:left="1080" w:firstLine="0"/>
        <w:textAlignment w:val="baseline"/>
        <w:rPr>
          <w:rFonts w:ascii="Calibri" w:eastAsia="Times New Roman" w:hAnsi="Calibri" w:cs="Calibri"/>
          <w:color w:val="000000"/>
          <w:lang w:val="en-US"/>
        </w:rPr>
      </w:pPr>
      <w:r w:rsidRPr="004F0F25">
        <w:rPr>
          <w:rFonts w:ascii="Calibri" w:eastAsia="Times New Roman" w:hAnsi="Calibri" w:cs="Calibri"/>
          <w:color w:val="000000"/>
        </w:rPr>
        <w:t>Sektorer </w:t>
      </w:r>
      <w:r w:rsidRPr="004F0F25">
        <w:rPr>
          <w:rFonts w:ascii="Calibri" w:eastAsia="Times New Roman" w:hAnsi="Calibri" w:cs="Calibri"/>
          <w:color w:val="000000"/>
          <w:lang w:val="en-US"/>
        </w:rPr>
        <w:t> </w:t>
      </w:r>
    </w:p>
    <w:p w14:paraId="396DC6B9" w14:textId="77777777" w:rsidR="0007129C" w:rsidRDefault="0007129C" w:rsidP="00EA5385">
      <w:pPr>
        <w:spacing w:after="0" w:line="240" w:lineRule="auto"/>
        <w:textAlignment w:val="baseline"/>
        <w:rPr>
          <w:rFonts w:ascii="Calibri" w:eastAsia="Times New Roman" w:hAnsi="Calibri" w:cs="Calibri"/>
          <w:color w:val="000000"/>
        </w:rPr>
      </w:pPr>
    </w:p>
    <w:p w14:paraId="457CD4F5" w14:textId="3473EF05" w:rsidR="005B33C7" w:rsidRDefault="005F328C" w:rsidP="00EA5385">
      <w:pPr>
        <w:spacing w:after="0" w:line="240" w:lineRule="auto"/>
        <w:textAlignment w:val="baseline"/>
        <w:rPr>
          <w:rFonts w:ascii="Calibri" w:eastAsia="Times New Roman" w:hAnsi="Calibri" w:cs="Calibri"/>
          <w:color w:val="000000"/>
        </w:rPr>
      </w:pPr>
      <w:r w:rsidRPr="71742F12">
        <w:rPr>
          <w:rFonts w:ascii="Calibri" w:eastAsia="Times New Roman" w:hAnsi="Calibri" w:cs="Calibri"/>
          <w:color w:val="000000" w:themeColor="accent6"/>
        </w:rPr>
        <w:t xml:space="preserve">Når vi har </w:t>
      </w:r>
      <w:r w:rsidR="00353FB0" w:rsidRPr="71742F12">
        <w:rPr>
          <w:rFonts w:ascii="Calibri" w:eastAsia="Times New Roman" w:hAnsi="Calibri" w:cs="Calibri"/>
          <w:color w:val="000000" w:themeColor="accent6"/>
        </w:rPr>
        <w:t>sammenlikn</w:t>
      </w:r>
      <w:r w:rsidRPr="71742F12">
        <w:rPr>
          <w:rFonts w:ascii="Calibri" w:eastAsia="Times New Roman" w:hAnsi="Calibri" w:cs="Calibri"/>
          <w:color w:val="000000" w:themeColor="accent6"/>
        </w:rPr>
        <w:t>et</w:t>
      </w:r>
      <w:r w:rsidRPr="71742F12" w:rsidDel="00353FB0">
        <w:rPr>
          <w:rFonts w:ascii="Calibri" w:eastAsia="Times New Roman" w:hAnsi="Calibri" w:cs="Calibri"/>
          <w:color w:val="000000" w:themeColor="accent6"/>
        </w:rPr>
        <w:t xml:space="preserve"> </w:t>
      </w:r>
      <w:r w:rsidR="00353FB0" w:rsidRPr="71742F12">
        <w:rPr>
          <w:rFonts w:ascii="Calibri" w:eastAsia="Times New Roman" w:hAnsi="Calibri" w:cs="Calibri"/>
          <w:color w:val="000000" w:themeColor="accent6"/>
        </w:rPr>
        <w:t xml:space="preserve">porteføljene </w:t>
      </w:r>
      <w:r w:rsidR="00EA5385" w:rsidRPr="71742F12">
        <w:rPr>
          <w:rFonts w:ascii="Calibri" w:eastAsia="Times New Roman" w:hAnsi="Calibri" w:cs="Calibri"/>
          <w:color w:val="000000" w:themeColor="accent6"/>
        </w:rPr>
        <w:t xml:space="preserve">(doktorgrads- og/eller postdoktorårsverk), </w:t>
      </w:r>
      <w:r w:rsidR="005B33C7" w:rsidRPr="71742F12">
        <w:rPr>
          <w:rFonts w:ascii="Calibri" w:eastAsia="Times New Roman" w:hAnsi="Calibri" w:cs="Calibri"/>
          <w:color w:val="000000" w:themeColor="accent6"/>
        </w:rPr>
        <w:t xml:space="preserve">har vi brukt totalt </w:t>
      </w:r>
      <w:r w:rsidR="00EA5385" w:rsidRPr="71742F12">
        <w:rPr>
          <w:rFonts w:ascii="Calibri" w:eastAsia="Times New Roman" w:hAnsi="Calibri" w:cs="Calibri"/>
          <w:color w:val="000000" w:themeColor="accent6"/>
        </w:rPr>
        <w:t xml:space="preserve">antall årsverk som helt eller delvis er finansiert </w:t>
      </w:r>
      <w:r w:rsidR="00BD3776" w:rsidRPr="71742F12">
        <w:rPr>
          <w:rFonts w:ascii="Calibri" w:eastAsia="Times New Roman" w:hAnsi="Calibri" w:cs="Calibri"/>
          <w:color w:val="000000" w:themeColor="accent6"/>
        </w:rPr>
        <w:t>gjennom</w:t>
      </w:r>
      <w:r w:rsidR="00EA5385" w:rsidRPr="71742F12">
        <w:rPr>
          <w:rFonts w:ascii="Calibri" w:eastAsia="Times New Roman" w:hAnsi="Calibri" w:cs="Calibri"/>
          <w:color w:val="000000" w:themeColor="accent6"/>
        </w:rPr>
        <w:t xml:space="preserve"> prosjektmidler fra Forskningsrådet</w:t>
      </w:r>
      <w:r w:rsidR="00353FB0" w:rsidRPr="71742F12">
        <w:rPr>
          <w:rFonts w:ascii="Calibri" w:eastAsia="Times New Roman" w:hAnsi="Calibri" w:cs="Calibri"/>
          <w:color w:val="000000" w:themeColor="accent6"/>
        </w:rPr>
        <w:t xml:space="preserve">. Registreringen er lik for alle porteføljene, </w:t>
      </w:r>
      <w:r w:rsidR="005B33C7" w:rsidRPr="71742F12">
        <w:rPr>
          <w:rFonts w:ascii="Calibri" w:eastAsia="Times New Roman" w:hAnsi="Calibri" w:cs="Calibri"/>
          <w:color w:val="000000" w:themeColor="accent6"/>
        </w:rPr>
        <w:t>og analysene bør derfor kunne gi et riktig bilde av forholdet mellom dem</w:t>
      </w:r>
      <w:r w:rsidR="00C56A46">
        <w:rPr>
          <w:rFonts w:ascii="Calibri" w:eastAsia="Times New Roman" w:hAnsi="Calibri" w:cs="Calibri"/>
          <w:color w:val="000000" w:themeColor="accent6"/>
        </w:rPr>
        <w:t>.</w:t>
      </w:r>
      <w:r w:rsidR="00C010BF" w:rsidRPr="71742F12">
        <w:rPr>
          <w:rFonts w:ascii="Calibri" w:eastAsia="Times New Roman" w:hAnsi="Calibri" w:cs="Calibri"/>
          <w:color w:val="000000" w:themeColor="accent6"/>
        </w:rPr>
        <w:t xml:space="preserve"> </w:t>
      </w:r>
    </w:p>
    <w:p w14:paraId="1893A7D0" w14:textId="3AF0DDE1" w:rsidR="00EA5385" w:rsidRDefault="00353FB0" w:rsidP="00EA538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r w:rsidR="00EA5385">
        <w:rPr>
          <w:rFonts w:ascii="Calibri" w:eastAsia="Times New Roman" w:hAnsi="Calibri" w:cs="Calibri"/>
          <w:color w:val="000000"/>
        </w:rPr>
        <w:t xml:space="preserve">   </w:t>
      </w:r>
    </w:p>
    <w:p w14:paraId="7236FDB2" w14:textId="2242BCA0" w:rsidR="00B07ECE" w:rsidRDefault="005739E2"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Tall for utenlandsstipend</w:t>
      </w:r>
      <w:r w:rsidR="005B62BF">
        <w:rPr>
          <w:rFonts w:ascii="Calibri" w:eastAsia="Times New Roman" w:hAnsi="Calibri" w:cs="Calibri"/>
          <w:color w:val="000000"/>
        </w:rPr>
        <w:t xml:space="preserve">, </w:t>
      </w:r>
      <w:r>
        <w:rPr>
          <w:rFonts w:ascii="Calibri" w:eastAsia="Times New Roman" w:hAnsi="Calibri" w:cs="Calibri"/>
          <w:color w:val="000000"/>
        </w:rPr>
        <w:t>mobilitetsstipend</w:t>
      </w:r>
      <w:r w:rsidR="005B62BF">
        <w:rPr>
          <w:rFonts w:ascii="Calibri" w:eastAsia="Times New Roman" w:hAnsi="Calibri" w:cs="Calibri"/>
          <w:color w:val="000000"/>
        </w:rPr>
        <w:t xml:space="preserve"> og forskerskoler</w:t>
      </w:r>
      <w:r>
        <w:rPr>
          <w:rFonts w:ascii="Calibri" w:eastAsia="Times New Roman" w:hAnsi="Calibri" w:cs="Calibri"/>
          <w:color w:val="000000"/>
        </w:rPr>
        <w:t xml:space="preserve"> vises for Forskningsrådet totalt</w:t>
      </w:r>
      <w:r w:rsidR="00497A22">
        <w:rPr>
          <w:rFonts w:ascii="Calibri" w:eastAsia="Times New Roman" w:hAnsi="Calibri" w:cs="Calibri"/>
          <w:color w:val="000000"/>
        </w:rPr>
        <w:t>,</w:t>
      </w:r>
      <w:r>
        <w:rPr>
          <w:rFonts w:ascii="Calibri" w:eastAsia="Times New Roman" w:hAnsi="Calibri" w:cs="Calibri"/>
          <w:color w:val="000000"/>
        </w:rPr>
        <w:t xml:space="preserve"> og ikke på </w:t>
      </w:r>
      <w:r w:rsidRPr="004F0F25">
        <w:rPr>
          <w:rFonts w:ascii="Calibri" w:eastAsia="Times New Roman" w:hAnsi="Calibri" w:cs="Calibri"/>
          <w:color w:val="000000"/>
        </w:rPr>
        <w:t>porteføljenivå.</w:t>
      </w:r>
      <w:r w:rsidR="005B33C7">
        <w:rPr>
          <w:rFonts w:ascii="Calibri" w:eastAsia="Times New Roman" w:hAnsi="Calibri" w:cs="Calibri"/>
          <w:color w:val="000000"/>
        </w:rPr>
        <w:t xml:space="preserve"> Vi har også sett på utviklingen </w:t>
      </w:r>
      <w:r w:rsidR="00F831BE">
        <w:rPr>
          <w:rFonts w:ascii="Calibri" w:eastAsia="Times New Roman" w:hAnsi="Calibri" w:cs="Calibri"/>
          <w:color w:val="000000"/>
        </w:rPr>
        <w:t>i antall søknader til og innvilge</w:t>
      </w:r>
      <w:r w:rsidR="006F37BC">
        <w:rPr>
          <w:rFonts w:ascii="Calibri" w:eastAsia="Times New Roman" w:hAnsi="Calibri" w:cs="Calibri"/>
          <w:color w:val="000000"/>
        </w:rPr>
        <w:t xml:space="preserve">lse </w:t>
      </w:r>
      <w:r w:rsidR="00F831BE">
        <w:rPr>
          <w:rFonts w:ascii="Calibri" w:eastAsia="Times New Roman" w:hAnsi="Calibri" w:cs="Calibri"/>
          <w:color w:val="000000"/>
        </w:rPr>
        <w:t xml:space="preserve">i ordningen </w:t>
      </w:r>
      <w:r w:rsidR="00F831BE" w:rsidRPr="00B836B2">
        <w:rPr>
          <w:rFonts w:ascii="Calibri" w:eastAsia="Times New Roman" w:hAnsi="Calibri" w:cs="Calibri"/>
          <w:i/>
          <w:iCs/>
          <w:color w:val="000000"/>
        </w:rPr>
        <w:t>Unge forskertalenter</w:t>
      </w:r>
      <w:r w:rsidR="00F831BE">
        <w:rPr>
          <w:rFonts w:ascii="Calibri" w:eastAsia="Times New Roman" w:hAnsi="Calibri" w:cs="Calibri"/>
          <w:color w:val="000000"/>
        </w:rPr>
        <w:t xml:space="preserve"> og </w:t>
      </w:r>
      <w:r w:rsidR="00F831BE" w:rsidRPr="005B62BF">
        <w:rPr>
          <w:rFonts w:ascii="Calibri" w:eastAsia="Times New Roman" w:hAnsi="Calibri" w:cs="Calibri"/>
          <w:i/>
          <w:iCs/>
          <w:color w:val="000000"/>
        </w:rPr>
        <w:t>Marie Skl</w:t>
      </w:r>
      <w:r w:rsidR="002475BD">
        <w:rPr>
          <w:rFonts w:ascii="Calibri" w:eastAsia="Times New Roman" w:hAnsi="Calibri" w:cs="Calibri"/>
          <w:i/>
          <w:iCs/>
          <w:color w:val="000000"/>
        </w:rPr>
        <w:t>o</w:t>
      </w:r>
      <w:r w:rsidR="00F831BE" w:rsidRPr="005B62BF">
        <w:rPr>
          <w:rFonts w:ascii="Calibri" w:eastAsia="Times New Roman" w:hAnsi="Calibri" w:cs="Calibri"/>
          <w:i/>
          <w:iCs/>
          <w:color w:val="000000"/>
        </w:rPr>
        <w:t>dowska</w:t>
      </w:r>
      <w:r w:rsidR="00BE17B3">
        <w:rPr>
          <w:rFonts w:ascii="Calibri" w:eastAsia="Times New Roman" w:hAnsi="Calibri" w:cs="Calibri"/>
          <w:i/>
          <w:iCs/>
          <w:color w:val="000000"/>
        </w:rPr>
        <w:t xml:space="preserve"> </w:t>
      </w:r>
      <w:r w:rsidR="00F831BE" w:rsidRPr="005B62BF">
        <w:rPr>
          <w:rFonts w:ascii="Calibri" w:eastAsia="Times New Roman" w:hAnsi="Calibri" w:cs="Calibri"/>
          <w:i/>
          <w:iCs/>
          <w:color w:val="000000"/>
        </w:rPr>
        <w:t>Curie Actions</w:t>
      </w:r>
      <w:r w:rsidR="006F37BC" w:rsidRPr="005B62BF">
        <w:rPr>
          <w:rFonts w:ascii="Calibri" w:eastAsia="Times New Roman" w:hAnsi="Calibri" w:cs="Calibri"/>
          <w:i/>
          <w:iCs/>
          <w:color w:val="000000"/>
        </w:rPr>
        <w:t xml:space="preserve"> Individual Fellowship</w:t>
      </w:r>
      <w:r w:rsidR="006F37BC">
        <w:rPr>
          <w:rFonts w:ascii="Calibri" w:eastAsia="Times New Roman" w:hAnsi="Calibri" w:cs="Calibri"/>
          <w:color w:val="000000"/>
        </w:rPr>
        <w:t xml:space="preserve"> (MSCA IF). Utviklingen knyttet til forskerlinjer og forskerskoler </w:t>
      </w:r>
      <w:r w:rsidR="00CD4E5E">
        <w:rPr>
          <w:rFonts w:ascii="Calibri" w:eastAsia="Times New Roman" w:hAnsi="Calibri" w:cs="Calibri"/>
          <w:color w:val="000000"/>
        </w:rPr>
        <w:t>er</w:t>
      </w:r>
      <w:r w:rsidR="006F37BC">
        <w:rPr>
          <w:rFonts w:ascii="Calibri" w:eastAsia="Times New Roman" w:hAnsi="Calibri" w:cs="Calibri"/>
          <w:color w:val="000000"/>
        </w:rPr>
        <w:t xml:space="preserve"> også vurdert. Dette er alle viktige virkemidler for rekrutteringen til norsk forskning. </w:t>
      </w:r>
      <w:r w:rsidR="00F831BE">
        <w:rPr>
          <w:rFonts w:ascii="Calibri" w:eastAsia="Times New Roman" w:hAnsi="Calibri" w:cs="Calibri"/>
          <w:color w:val="000000"/>
        </w:rPr>
        <w:t xml:space="preserve"> </w:t>
      </w:r>
    </w:p>
    <w:p w14:paraId="0500E6A1" w14:textId="77777777" w:rsidR="00497A22" w:rsidRDefault="00497A22" w:rsidP="004F0F25">
      <w:pPr>
        <w:spacing w:after="0" w:line="240" w:lineRule="auto"/>
        <w:textAlignment w:val="baseline"/>
        <w:rPr>
          <w:rFonts w:ascii="Calibri" w:eastAsia="Times New Roman" w:hAnsi="Calibri" w:cs="Calibri"/>
          <w:color w:val="000000"/>
        </w:rPr>
      </w:pPr>
    </w:p>
    <w:p w14:paraId="7F297C1D" w14:textId="1631EDA1" w:rsidR="004F0F25" w:rsidRPr="004F0F25" w:rsidRDefault="00497A22"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Statistikken som ligger til grunn for analysen ligger vedlagt. </w:t>
      </w:r>
      <w:r w:rsidR="00B903EF">
        <w:rPr>
          <w:rFonts w:ascii="Calibri" w:eastAsia="Times New Roman" w:hAnsi="Calibri" w:cs="Calibri"/>
          <w:color w:val="auto"/>
        </w:rPr>
        <w:t>På g</w:t>
      </w:r>
      <w:r w:rsidR="00CD4E5E">
        <w:rPr>
          <w:rFonts w:ascii="Calibri" w:eastAsia="Times New Roman" w:hAnsi="Calibri" w:cs="Calibri"/>
          <w:color w:val="auto"/>
        </w:rPr>
        <w:t>r</w:t>
      </w:r>
      <w:r w:rsidR="00B903EF">
        <w:rPr>
          <w:rFonts w:ascii="Calibri" w:eastAsia="Times New Roman" w:hAnsi="Calibri" w:cs="Calibri"/>
          <w:color w:val="auto"/>
        </w:rPr>
        <w:t xml:space="preserve">unn av etterrapporteringer kan </w:t>
      </w:r>
      <w:r w:rsidR="006E34C2">
        <w:rPr>
          <w:rFonts w:ascii="Calibri" w:eastAsia="Times New Roman" w:hAnsi="Calibri" w:cs="Calibri"/>
          <w:color w:val="auto"/>
        </w:rPr>
        <w:t xml:space="preserve">det forekomme variasjoner i </w:t>
      </w:r>
      <w:r w:rsidR="00B903EF">
        <w:rPr>
          <w:rFonts w:ascii="Calibri" w:eastAsia="Times New Roman" w:hAnsi="Calibri" w:cs="Calibri"/>
          <w:color w:val="auto"/>
        </w:rPr>
        <w:t xml:space="preserve">tallene, avhengig av når de </w:t>
      </w:r>
      <w:r w:rsidR="007D56B1">
        <w:rPr>
          <w:rFonts w:ascii="Calibri" w:eastAsia="Times New Roman" w:hAnsi="Calibri" w:cs="Calibri"/>
          <w:color w:val="auto"/>
        </w:rPr>
        <w:t xml:space="preserve">ble </w:t>
      </w:r>
      <w:r w:rsidR="00B903EF">
        <w:rPr>
          <w:rFonts w:ascii="Calibri" w:eastAsia="Times New Roman" w:hAnsi="Calibri" w:cs="Calibri"/>
          <w:color w:val="auto"/>
        </w:rPr>
        <w:t>hentet ut. Dette gjelder særlig</w:t>
      </w:r>
      <w:r w:rsidR="006E34C2">
        <w:rPr>
          <w:rFonts w:ascii="Calibri" w:eastAsia="Times New Roman" w:hAnsi="Calibri" w:cs="Calibri"/>
          <w:color w:val="auto"/>
        </w:rPr>
        <w:t xml:space="preserve"> tall </w:t>
      </w:r>
      <w:r w:rsidR="00B903EF">
        <w:rPr>
          <w:rFonts w:ascii="Calibri" w:eastAsia="Times New Roman" w:hAnsi="Calibri" w:cs="Calibri"/>
          <w:color w:val="auto"/>
        </w:rPr>
        <w:t xml:space="preserve">for 2021. </w:t>
      </w:r>
      <w:r w:rsidR="004F0F25" w:rsidRPr="004F0F25">
        <w:rPr>
          <w:rFonts w:ascii="Calibri" w:eastAsia="Times New Roman" w:hAnsi="Calibri" w:cs="Calibri"/>
          <w:color w:val="auto"/>
        </w:rPr>
        <w:t xml:space="preserve">Tallene peker imidlertid i </w:t>
      </w:r>
      <w:r w:rsidR="00D23D38">
        <w:rPr>
          <w:rFonts w:ascii="Calibri" w:eastAsia="Times New Roman" w:hAnsi="Calibri" w:cs="Calibri"/>
          <w:color w:val="auto"/>
        </w:rPr>
        <w:t xml:space="preserve">samme </w:t>
      </w:r>
      <w:r w:rsidR="004F0F25" w:rsidRPr="004F0F25">
        <w:rPr>
          <w:rFonts w:ascii="Calibri" w:eastAsia="Times New Roman" w:hAnsi="Calibri" w:cs="Calibri"/>
          <w:color w:val="auto"/>
        </w:rPr>
        <w:t xml:space="preserve">retning, og det er denne utviklingen som </w:t>
      </w:r>
      <w:r w:rsidR="00613161">
        <w:rPr>
          <w:rFonts w:ascii="Calibri" w:eastAsia="Times New Roman" w:hAnsi="Calibri" w:cs="Calibri"/>
          <w:color w:val="auto"/>
        </w:rPr>
        <w:t>analyseres</w:t>
      </w:r>
      <w:r w:rsidR="004F0F25" w:rsidRPr="004F0F25">
        <w:rPr>
          <w:rFonts w:ascii="Calibri" w:eastAsia="Times New Roman" w:hAnsi="Calibri" w:cs="Calibri"/>
          <w:color w:val="auto"/>
        </w:rPr>
        <w:t>. </w:t>
      </w:r>
      <w:r w:rsidR="00D23D38">
        <w:rPr>
          <w:rFonts w:ascii="Calibri" w:eastAsia="Times New Roman" w:hAnsi="Calibri" w:cs="Calibri"/>
          <w:color w:val="auto"/>
        </w:rPr>
        <w:t>Tallene</w:t>
      </w:r>
      <w:r w:rsidR="00843348">
        <w:rPr>
          <w:rFonts w:ascii="Calibri" w:eastAsia="Times New Roman" w:hAnsi="Calibri" w:cs="Calibri"/>
          <w:color w:val="auto"/>
        </w:rPr>
        <w:t xml:space="preserve"> </w:t>
      </w:r>
      <w:r w:rsidR="00D23D38">
        <w:rPr>
          <w:rFonts w:ascii="Calibri" w:eastAsia="Times New Roman" w:hAnsi="Calibri" w:cs="Calibri"/>
          <w:color w:val="auto"/>
        </w:rPr>
        <w:t xml:space="preserve">i oversikten over forskerlinjeprosjekter er laget </w:t>
      </w:r>
      <w:r w:rsidR="00843348">
        <w:rPr>
          <w:rFonts w:ascii="Calibri" w:eastAsia="Times New Roman" w:hAnsi="Calibri" w:cs="Calibri"/>
          <w:color w:val="auto"/>
        </w:rPr>
        <w:t xml:space="preserve">på bakgrunn av rapporterte </w:t>
      </w:r>
      <w:r w:rsidR="00D23D38">
        <w:rPr>
          <w:rFonts w:ascii="Calibri" w:eastAsia="Times New Roman" w:hAnsi="Calibri" w:cs="Calibri"/>
          <w:color w:val="auto"/>
        </w:rPr>
        <w:t xml:space="preserve">tall fra </w:t>
      </w:r>
      <w:r w:rsidR="009320F3">
        <w:rPr>
          <w:rFonts w:ascii="Calibri" w:eastAsia="Times New Roman" w:hAnsi="Calibri" w:cs="Calibri"/>
          <w:color w:val="auto"/>
        </w:rPr>
        <w:t>universitetene</w:t>
      </w:r>
      <w:r w:rsidR="006747C4">
        <w:rPr>
          <w:rFonts w:ascii="Calibri" w:eastAsia="Times New Roman" w:hAnsi="Calibri" w:cs="Calibri"/>
          <w:color w:val="auto"/>
        </w:rPr>
        <w:t>. I</w:t>
      </w:r>
      <w:r w:rsidR="004F0F25" w:rsidRPr="004F0F25">
        <w:rPr>
          <w:rFonts w:ascii="Calibri" w:eastAsia="Times New Roman" w:hAnsi="Calibri" w:cs="Calibri"/>
          <w:color w:val="auto"/>
        </w:rPr>
        <w:t xml:space="preserve"> 2017 ble det innført </w:t>
      </w:r>
      <w:r w:rsidR="005B62BF">
        <w:rPr>
          <w:rFonts w:ascii="Calibri" w:eastAsia="Times New Roman" w:hAnsi="Calibri" w:cs="Calibri"/>
          <w:color w:val="auto"/>
        </w:rPr>
        <w:t xml:space="preserve">felles </w:t>
      </w:r>
      <w:r w:rsidR="004F0F25" w:rsidRPr="004F0F25">
        <w:rPr>
          <w:rFonts w:ascii="Calibri" w:eastAsia="Times New Roman" w:hAnsi="Calibri" w:cs="Calibri"/>
          <w:color w:val="auto"/>
        </w:rPr>
        <w:t xml:space="preserve">utlysning og felles rapportering av utenlandsstipend. Vi tar forbehold om at det kan være underrapportering av utenlandsstipend før 2017. Imidlertid peker også disse tallene i samme retning, </w:t>
      </w:r>
      <w:r>
        <w:rPr>
          <w:rFonts w:ascii="Calibri" w:eastAsia="Times New Roman" w:hAnsi="Calibri" w:cs="Calibri"/>
          <w:color w:val="auto"/>
        </w:rPr>
        <w:t xml:space="preserve">og </w:t>
      </w:r>
      <w:r w:rsidR="004F0F25" w:rsidRPr="004F0F25">
        <w:rPr>
          <w:rFonts w:ascii="Calibri" w:eastAsia="Times New Roman" w:hAnsi="Calibri" w:cs="Calibri"/>
          <w:color w:val="auto"/>
        </w:rPr>
        <w:t xml:space="preserve">det er denne utviklingen som </w:t>
      </w:r>
      <w:r w:rsidR="00613161">
        <w:rPr>
          <w:rFonts w:ascii="Calibri" w:eastAsia="Times New Roman" w:hAnsi="Calibri" w:cs="Calibri"/>
          <w:color w:val="auto"/>
        </w:rPr>
        <w:t>beskrives.</w:t>
      </w:r>
      <w:r w:rsidR="004F0F25" w:rsidRPr="004F0F25">
        <w:rPr>
          <w:rFonts w:ascii="Calibri" w:eastAsia="Times New Roman" w:hAnsi="Calibri" w:cs="Calibri"/>
          <w:color w:val="auto"/>
        </w:rPr>
        <w:t>   </w:t>
      </w:r>
    </w:p>
    <w:p w14:paraId="758B56DF" w14:textId="777777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7D90B067" w14:textId="6C69C1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 xml:space="preserve">I hovedsak har vi </w:t>
      </w:r>
      <w:r w:rsidR="00497A22">
        <w:rPr>
          <w:rFonts w:ascii="Calibri" w:eastAsia="Times New Roman" w:hAnsi="Calibri" w:cs="Calibri"/>
          <w:color w:val="auto"/>
        </w:rPr>
        <w:t xml:space="preserve">vurdert </w:t>
      </w:r>
      <w:r w:rsidRPr="004F0F25">
        <w:rPr>
          <w:rFonts w:ascii="Calibri" w:eastAsia="Times New Roman" w:hAnsi="Calibri" w:cs="Calibri"/>
          <w:color w:val="auto"/>
        </w:rPr>
        <w:t xml:space="preserve">Forskningsrådets innsats. I den grad vi har hatt tilgjengelig tallmateriale, har vi </w:t>
      </w:r>
      <w:r w:rsidR="00613161">
        <w:rPr>
          <w:rFonts w:ascii="Calibri" w:eastAsia="Times New Roman" w:hAnsi="Calibri" w:cs="Calibri"/>
          <w:color w:val="auto"/>
        </w:rPr>
        <w:t xml:space="preserve">også </w:t>
      </w:r>
      <w:r w:rsidR="005D71ED">
        <w:rPr>
          <w:rFonts w:ascii="Calibri" w:eastAsia="Times New Roman" w:hAnsi="Calibri" w:cs="Calibri"/>
          <w:color w:val="auto"/>
        </w:rPr>
        <w:t xml:space="preserve">sett Forskningsrådets finansiering </w:t>
      </w:r>
      <w:r w:rsidRPr="004F0F25">
        <w:rPr>
          <w:rFonts w:ascii="Calibri" w:eastAsia="Times New Roman" w:hAnsi="Calibri" w:cs="Calibri"/>
          <w:color w:val="000000"/>
        </w:rPr>
        <w:t>i sammenheng med øvrig nasjonal innsats på området.  </w:t>
      </w:r>
    </w:p>
    <w:p w14:paraId="32CC6850" w14:textId="777777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338D"/>
        </w:rPr>
        <w:t>  </w:t>
      </w:r>
    </w:p>
    <w:p w14:paraId="66CA9981" w14:textId="1476052B"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b/>
          <w:bCs/>
          <w:i/>
          <w:iCs/>
          <w:color w:val="000000"/>
        </w:rPr>
        <w:lastRenderedPageBreak/>
        <w:t>Anvendelsesområder</w:t>
      </w:r>
      <w:r w:rsidRPr="004F0F25">
        <w:rPr>
          <w:rFonts w:ascii="Calibri" w:eastAsia="Times New Roman" w:hAnsi="Calibri" w:cs="Calibri"/>
          <w:color w:val="000000"/>
        </w:rPr>
        <w:t xml:space="preserve">  </w:t>
      </w:r>
      <w:r w:rsidRPr="004F0F25">
        <w:rPr>
          <w:rFonts w:ascii="Calibri" w:eastAsia="Times New Roman" w:hAnsi="Calibri" w:cs="Calibri"/>
          <w:color w:val="000000"/>
        </w:rPr>
        <w:br/>
      </w:r>
      <w:r w:rsidR="006F37BC">
        <w:rPr>
          <w:rFonts w:ascii="Calibri" w:eastAsia="Times New Roman" w:hAnsi="Calibri" w:cs="Calibri"/>
          <w:color w:val="000000"/>
        </w:rPr>
        <w:t>Både d</w:t>
      </w:r>
      <w:r w:rsidRPr="004F0F25">
        <w:rPr>
          <w:rFonts w:ascii="Calibri" w:eastAsia="Times New Roman" w:hAnsi="Calibri" w:cs="Calibri"/>
          <w:color w:val="000000"/>
        </w:rPr>
        <w:t>oktorgrads</w:t>
      </w:r>
      <w:r w:rsidR="003C4442">
        <w:rPr>
          <w:rFonts w:ascii="Calibri" w:eastAsia="Times New Roman" w:hAnsi="Calibri" w:cs="Calibri"/>
          <w:color w:val="000000"/>
        </w:rPr>
        <w:t>-</w:t>
      </w:r>
      <w:r w:rsidRPr="004F0F25">
        <w:rPr>
          <w:rFonts w:ascii="Calibri" w:eastAsia="Times New Roman" w:hAnsi="Calibri" w:cs="Calibri"/>
          <w:color w:val="000000"/>
        </w:rPr>
        <w:t xml:space="preserve"> </w:t>
      </w:r>
      <w:r w:rsidR="006F37BC">
        <w:rPr>
          <w:rFonts w:ascii="Calibri" w:eastAsia="Times New Roman" w:hAnsi="Calibri" w:cs="Calibri"/>
          <w:color w:val="000000"/>
        </w:rPr>
        <w:t xml:space="preserve">og </w:t>
      </w:r>
      <w:r w:rsidRPr="004F0F25">
        <w:rPr>
          <w:rFonts w:ascii="Calibri" w:eastAsia="Times New Roman" w:hAnsi="Calibri" w:cs="Calibri"/>
          <w:color w:val="333333"/>
        </w:rPr>
        <w:t>postdoktorsti</w:t>
      </w:r>
      <w:r w:rsidR="003C4442">
        <w:rPr>
          <w:rFonts w:ascii="Calibri" w:eastAsia="Times New Roman" w:hAnsi="Calibri" w:cs="Calibri"/>
          <w:color w:val="333333"/>
        </w:rPr>
        <w:t>pend</w:t>
      </w:r>
      <w:r w:rsidRPr="004F0F25">
        <w:rPr>
          <w:rFonts w:ascii="Calibri" w:eastAsia="Times New Roman" w:hAnsi="Calibri" w:cs="Calibri"/>
          <w:color w:val="333333"/>
        </w:rPr>
        <w:t xml:space="preserve"> er </w:t>
      </w:r>
      <w:r w:rsidRPr="004F0F25">
        <w:rPr>
          <w:rFonts w:ascii="Calibri" w:eastAsia="Times New Roman" w:hAnsi="Calibri" w:cs="Calibri"/>
          <w:color w:val="000000"/>
        </w:rPr>
        <w:t>rekrutteringsstillinger til forsk</w:t>
      </w:r>
      <w:r w:rsidR="003C4442">
        <w:rPr>
          <w:rFonts w:ascii="Calibri" w:eastAsia="Times New Roman" w:hAnsi="Calibri" w:cs="Calibri"/>
          <w:color w:val="000000"/>
        </w:rPr>
        <w:t>er</w:t>
      </w:r>
      <w:r w:rsidRPr="004F0F25">
        <w:rPr>
          <w:rFonts w:ascii="Calibri" w:eastAsia="Times New Roman" w:hAnsi="Calibri" w:cs="Calibri"/>
          <w:color w:val="000000"/>
        </w:rPr>
        <w:t>stillinger i UH-sektoren, instituttsektoren, helseforetakene og til offentlig og privat virksomhet. Rekrutteringsstillingen</w:t>
      </w:r>
      <w:r w:rsidR="003C4442">
        <w:rPr>
          <w:rFonts w:ascii="Calibri" w:eastAsia="Times New Roman" w:hAnsi="Calibri" w:cs="Calibri"/>
          <w:color w:val="000000"/>
        </w:rPr>
        <w:t>e</w:t>
      </w:r>
      <w:r w:rsidRPr="004F0F25">
        <w:rPr>
          <w:rFonts w:ascii="Calibri" w:eastAsia="Times New Roman" w:hAnsi="Calibri" w:cs="Calibri"/>
          <w:color w:val="000000"/>
        </w:rPr>
        <w:t xml:space="preserve"> er derfor viktig for utviklingen av norsk forskning og for samfunnet </w:t>
      </w:r>
      <w:r w:rsidR="00FB1B38" w:rsidRPr="004F0F25">
        <w:rPr>
          <w:rFonts w:ascii="Calibri" w:eastAsia="Times New Roman" w:hAnsi="Calibri" w:cs="Calibri"/>
          <w:color w:val="000000"/>
        </w:rPr>
        <w:t>ellers</w:t>
      </w:r>
      <w:r w:rsidRPr="004F0F25">
        <w:rPr>
          <w:rFonts w:ascii="Calibri" w:eastAsia="Times New Roman" w:hAnsi="Calibri" w:cs="Calibri"/>
          <w:color w:val="000000"/>
        </w:rPr>
        <w:t>.     </w:t>
      </w:r>
    </w:p>
    <w:p w14:paraId="056FDEE8" w14:textId="777777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1EC278C6" w14:textId="3EDEFC3F" w:rsidR="00A5101A"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b/>
          <w:bCs/>
          <w:i/>
          <w:iCs/>
          <w:color w:val="000000"/>
        </w:rPr>
        <w:t>FOU-verdikjede</w:t>
      </w:r>
      <w:r w:rsidRPr="004F0F25">
        <w:rPr>
          <w:rFonts w:ascii="Calibri" w:eastAsia="Times New Roman" w:hAnsi="Calibri" w:cs="Calibri"/>
          <w:color w:val="000000"/>
        </w:rPr>
        <w:t xml:space="preserve">  </w:t>
      </w:r>
      <w:r w:rsidRPr="004F0F25">
        <w:rPr>
          <w:rFonts w:ascii="Calibri" w:eastAsia="Times New Roman" w:hAnsi="Calibri" w:cs="Calibri"/>
          <w:color w:val="000000"/>
        </w:rPr>
        <w:br/>
      </w:r>
      <w:r w:rsidRPr="004F0F25">
        <w:rPr>
          <w:rFonts w:ascii="Calibri" w:eastAsia="Times New Roman" w:hAnsi="Calibri" w:cs="Calibri"/>
          <w:color w:val="auto"/>
        </w:rPr>
        <w:t>Begge stillingstypene brukes både innen grunnforskning og anvendt forskning. </w:t>
      </w:r>
      <w:r w:rsidRPr="004F0F25">
        <w:rPr>
          <w:rFonts w:ascii="Calibri" w:eastAsia="Times New Roman" w:hAnsi="Calibri" w:cs="Calibri"/>
          <w:color w:val="000000"/>
        </w:rPr>
        <w:t> </w:t>
      </w:r>
    </w:p>
    <w:p w14:paraId="6C37D2D2" w14:textId="597D659C" w:rsidR="00A5101A" w:rsidRPr="00F101B8" w:rsidRDefault="00A5101A" w:rsidP="00A5101A">
      <w:pPr>
        <w:pStyle w:val="Overskrift1"/>
        <w:ind w:firstLine="708"/>
        <w:rPr>
          <w:sz w:val="36"/>
          <w:szCs w:val="36"/>
        </w:rPr>
      </w:pPr>
      <w:bookmarkStart w:id="1" w:name="_Toc111796571"/>
      <w:r>
        <w:rPr>
          <w:sz w:val="36"/>
          <w:szCs w:val="36"/>
        </w:rPr>
        <w:t>2</w:t>
      </w:r>
      <w:r w:rsidRPr="002660C0">
        <w:rPr>
          <w:sz w:val="36"/>
          <w:szCs w:val="36"/>
        </w:rPr>
        <w:t>. Hovedfunn</w:t>
      </w:r>
      <w:bookmarkEnd w:id="1"/>
      <w:r w:rsidRPr="002660C0">
        <w:rPr>
          <w:sz w:val="36"/>
          <w:szCs w:val="36"/>
        </w:rPr>
        <w:t xml:space="preserve"> </w:t>
      </w:r>
      <w:r w:rsidRPr="00F101B8">
        <w:rPr>
          <w:sz w:val="36"/>
          <w:szCs w:val="36"/>
        </w:rPr>
        <w:t> </w:t>
      </w:r>
    </w:p>
    <w:p w14:paraId="349FB0BC" w14:textId="77777777" w:rsidR="00A5101A" w:rsidRPr="0021278F" w:rsidRDefault="00A5101A" w:rsidP="00A5101A">
      <w:r>
        <w:t>Analysen har gitt følgende hovedresultater:</w:t>
      </w:r>
    </w:p>
    <w:p w14:paraId="6D4BEC3E" w14:textId="77777777" w:rsidR="00A5101A" w:rsidRPr="0060756E" w:rsidRDefault="00A5101A" w:rsidP="00A5101A">
      <w:pPr>
        <w:pStyle w:val="Listeavsnitt"/>
        <w:numPr>
          <w:ilvl w:val="0"/>
          <w:numId w:val="18"/>
        </w:numPr>
        <w:spacing w:after="0" w:line="240" w:lineRule="auto"/>
        <w:textAlignment w:val="baseline"/>
        <w:rPr>
          <w:rFonts w:ascii="Calibri" w:eastAsia="Times New Roman" w:hAnsi="Calibri" w:cs="Calibri"/>
          <w:color w:val="00338D"/>
        </w:rPr>
      </w:pPr>
      <w:r>
        <w:rPr>
          <w:rFonts w:ascii="Calibri" w:eastAsia="Times New Roman" w:hAnsi="Calibri" w:cs="Calibri"/>
          <w:color w:val="000000" w:themeColor="accent6"/>
        </w:rPr>
        <w:t xml:space="preserve">Forskningsrådet finansierer en høy andel </w:t>
      </w:r>
      <w:r w:rsidRPr="0060756E">
        <w:rPr>
          <w:rFonts w:ascii="Calibri" w:eastAsia="Times New Roman" w:hAnsi="Calibri" w:cs="Calibri"/>
          <w:color w:val="000000" w:themeColor="accent6"/>
        </w:rPr>
        <w:t>stipendiat</w:t>
      </w:r>
      <w:r>
        <w:rPr>
          <w:rFonts w:ascii="Calibri" w:eastAsia="Times New Roman" w:hAnsi="Calibri" w:cs="Calibri"/>
          <w:color w:val="000000" w:themeColor="accent6"/>
        </w:rPr>
        <w:t>årsverk i</w:t>
      </w:r>
      <w:r w:rsidRPr="0060756E">
        <w:rPr>
          <w:rFonts w:ascii="Calibri" w:eastAsia="Times New Roman" w:hAnsi="Calibri" w:cs="Calibri"/>
          <w:color w:val="000000" w:themeColor="accent6"/>
        </w:rPr>
        <w:t xml:space="preserve"> virkemid</w:t>
      </w:r>
      <w:r>
        <w:rPr>
          <w:rFonts w:ascii="Calibri" w:eastAsia="Times New Roman" w:hAnsi="Calibri" w:cs="Calibri"/>
          <w:color w:val="000000" w:themeColor="accent6"/>
        </w:rPr>
        <w:t>l</w:t>
      </w:r>
      <w:r w:rsidRPr="0060756E">
        <w:rPr>
          <w:rFonts w:ascii="Calibri" w:eastAsia="Times New Roman" w:hAnsi="Calibri" w:cs="Calibri"/>
          <w:color w:val="000000" w:themeColor="accent6"/>
        </w:rPr>
        <w:t>er som bidrar til å utvikle fagmiljøer av fremragende kvalitet</w:t>
      </w:r>
      <w:r>
        <w:rPr>
          <w:rFonts w:ascii="Calibri" w:eastAsia="Times New Roman" w:hAnsi="Calibri" w:cs="Calibri"/>
          <w:color w:val="000000" w:themeColor="accent6"/>
        </w:rPr>
        <w:t>.</w:t>
      </w:r>
      <w:r w:rsidRPr="0060756E">
        <w:rPr>
          <w:rFonts w:ascii="Calibri" w:eastAsia="Times New Roman" w:hAnsi="Calibri" w:cs="Calibri"/>
          <w:color w:val="000000" w:themeColor="accent6"/>
        </w:rPr>
        <w:t>    </w:t>
      </w:r>
    </w:p>
    <w:p w14:paraId="14B2FF76" w14:textId="77777777" w:rsidR="00A5101A" w:rsidRPr="00DD4EA2" w:rsidRDefault="00A5101A" w:rsidP="00A5101A">
      <w:pPr>
        <w:pStyle w:val="Listeavsnitt"/>
        <w:numPr>
          <w:ilvl w:val="0"/>
          <w:numId w:val="18"/>
        </w:numPr>
        <w:spacing w:after="0" w:line="240" w:lineRule="auto"/>
        <w:textAlignment w:val="baseline"/>
        <w:rPr>
          <w:rFonts w:ascii="Calibri" w:eastAsia="Times New Roman" w:hAnsi="Calibri" w:cs="Calibri"/>
          <w:color w:val="000000"/>
        </w:rPr>
      </w:pPr>
      <w:r w:rsidRPr="00DD4EA2">
        <w:rPr>
          <w:rFonts w:ascii="Calibri" w:eastAsia="Times New Roman" w:hAnsi="Calibri" w:cs="Calibri"/>
          <w:color w:val="auto"/>
        </w:rPr>
        <w:t xml:space="preserve">Det er god kjønnsbalanse i rekrutteringsårsverkene som Forskningsrådet finansierer totalt sett, men det er store forskjeller mellom fagområder og hovedaktiviteter. Dette er forskjeller som vi også finner på nasjonalt nivå, men som gjør seg sterkere gjeldende i </w:t>
      </w:r>
      <w:r w:rsidRPr="00DD4EA2">
        <w:rPr>
          <w:rFonts w:ascii="Calibri" w:eastAsia="Times New Roman" w:hAnsi="Calibri" w:cs="Calibri"/>
          <w:color w:val="000000" w:themeColor="accent6"/>
        </w:rPr>
        <w:t xml:space="preserve">Forskningsrådets virkemidler. </w:t>
      </w:r>
    </w:p>
    <w:p w14:paraId="31FF0BF0" w14:textId="77777777" w:rsidR="00A5101A" w:rsidRPr="00FD713C" w:rsidRDefault="00A5101A" w:rsidP="00A5101A">
      <w:pPr>
        <w:pStyle w:val="Listeavsnitt"/>
        <w:numPr>
          <w:ilvl w:val="0"/>
          <w:numId w:val="18"/>
        </w:numPr>
        <w:spacing w:after="0" w:line="240" w:lineRule="auto"/>
        <w:textAlignment w:val="baseline"/>
        <w:rPr>
          <w:rFonts w:ascii="Calibri" w:eastAsia="Times New Roman" w:hAnsi="Calibri" w:cs="Calibri"/>
          <w:color w:val="auto"/>
        </w:rPr>
      </w:pPr>
      <w:r w:rsidRPr="00E22218">
        <w:rPr>
          <w:rFonts w:ascii="Calibri" w:eastAsia="Times New Roman" w:hAnsi="Calibri" w:cs="Calibri"/>
          <w:i/>
          <w:iCs/>
          <w:color w:val="auto"/>
        </w:rPr>
        <w:t>Nasjonale forskerskoler</w:t>
      </w:r>
      <w:r w:rsidRPr="00FD713C">
        <w:rPr>
          <w:rFonts w:ascii="Calibri" w:eastAsia="Times New Roman" w:hAnsi="Calibri" w:cs="Calibri"/>
          <w:color w:val="auto"/>
        </w:rPr>
        <w:t xml:space="preserve"> har bidratt til mer </w:t>
      </w:r>
      <w:r>
        <w:rPr>
          <w:rFonts w:ascii="Calibri" w:eastAsia="Times New Roman" w:hAnsi="Calibri" w:cs="Calibri"/>
          <w:color w:val="auto"/>
        </w:rPr>
        <w:t xml:space="preserve">nasjonalt </w:t>
      </w:r>
      <w:r w:rsidRPr="00FD713C">
        <w:rPr>
          <w:rFonts w:ascii="Calibri" w:eastAsia="Times New Roman" w:hAnsi="Calibri" w:cs="Calibri"/>
          <w:color w:val="auto"/>
        </w:rPr>
        <w:t>forskningssamarbeid</w:t>
      </w:r>
      <w:r>
        <w:rPr>
          <w:rFonts w:ascii="Calibri" w:eastAsia="Times New Roman" w:hAnsi="Calibri" w:cs="Calibri"/>
          <w:color w:val="auto"/>
        </w:rPr>
        <w:t xml:space="preserve">. </w:t>
      </w:r>
    </w:p>
    <w:p w14:paraId="2079C743" w14:textId="77777777" w:rsidR="00A5101A" w:rsidRPr="00DA56EF" w:rsidRDefault="00A5101A" w:rsidP="00A5101A">
      <w:pPr>
        <w:pStyle w:val="Listeavsnitt"/>
        <w:numPr>
          <w:ilvl w:val="0"/>
          <w:numId w:val="18"/>
        </w:numPr>
        <w:spacing w:after="0" w:line="240" w:lineRule="auto"/>
        <w:textAlignment w:val="baseline"/>
        <w:rPr>
          <w:rFonts w:ascii="Calibri" w:eastAsia="Times New Roman" w:hAnsi="Calibri" w:cs="Calibri"/>
          <w:color w:val="auto"/>
        </w:rPr>
      </w:pPr>
      <w:r w:rsidRPr="505B6C1C">
        <w:rPr>
          <w:rFonts w:ascii="Calibri" w:eastAsia="Times New Roman" w:hAnsi="Calibri" w:cs="Calibri"/>
          <w:color w:val="auto"/>
        </w:rPr>
        <w:t>I perioden 2019-2021 gikk en betydelig andel av Forskningsrådets rekrutteringsstillinger til områder som hadde det grønne skiftet og/eller omstilling som mål. Gjennom disse investeringene er Forskningsrådet en viktig bidragsyter når det gjelder å bygge kapasitet på satsingsområder som hadde omstilling og innovasjon som mål.  </w:t>
      </w:r>
    </w:p>
    <w:p w14:paraId="7ADE1D58" w14:textId="77777777" w:rsidR="00A5101A" w:rsidRDefault="00A5101A" w:rsidP="00A5101A">
      <w:pPr>
        <w:pStyle w:val="Listeavsnitt"/>
        <w:numPr>
          <w:ilvl w:val="0"/>
          <w:numId w:val="18"/>
        </w:numPr>
        <w:spacing w:after="0" w:line="240" w:lineRule="auto"/>
        <w:textAlignment w:val="baseline"/>
        <w:rPr>
          <w:rFonts w:ascii="Calibri" w:eastAsia="Times New Roman" w:hAnsi="Calibri" w:cs="Calibri"/>
          <w:color w:val="auto"/>
        </w:rPr>
      </w:pPr>
      <w:r>
        <w:rPr>
          <w:rFonts w:ascii="Calibri" w:eastAsia="Times New Roman" w:hAnsi="Calibri" w:cs="Calibri"/>
          <w:color w:val="auto"/>
        </w:rPr>
        <w:t>De</w:t>
      </w:r>
      <w:r w:rsidRPr="004F0F25">
        <w:rPr>
          <w:rFonts w:ascii="Calibri" w:eastAsia="Times New Roman" w:hAnsi="Calibri" w:cs="Calibri"/>
          <w:color w:val="auto"/>
        </w:rPr>
        <w:t xml:space="preserve"> teknologirettede og matematisk naturvitenskapelige fagområdene dominerer </w:t>
      </w:r>
      <w:r>
        <w:rPr>
          <w:rFonts w:ascii="Calibri" w:eastAsia="Times New Roman" w:hAnsi="Calibri" w:cs="Calibri"/>
          <w:color w:val="auto"/>
        </w:rPr>
        <w:t xml:space="preserve">i </w:t>
      </w:r>
      <w:r w:rsidRPr="004F0F25">
        <w:rPr>
          <w:rFonts w:ascii="Calibri" w:eastAsia="Times New Roman" w:hAnsi="Calibri" w:cs="Calibri"/>
          <w:color w:val="auto"/>
        </w:rPr>
        <w:t>Forskningsrådets rekrutteringsportefølje</w:t>
      </w:r>
      <w:r>
        <w:rPr>
          <w:rFonts w:ascii="Calibri" w:eastAsia="Times New Roman" w:hAnsi="Calibri" w:cs="Calibri"/>
          <w:color w:val="auto"/>
        </w:rPr>
        <w:t>.</w:t>
      </w:r>
      <w:r w:rsidRPr="0060756E">
        <w:rPr>
          <w:rFonts w:ascii="Calibri" w:eastAsia="Times New Roman" w:hAnsi="Calibri" w:cs="Calibri"/>
          <w:color w:val="auto"/>
        </w:rPr>
        <w:t xml:space="preserve"> </w:t>
      </w:r>
    </w:p>
    <w:p w14:paraId="3618A82A" w14:textId="77777777" w:rsidR="00A5101A" w:rsidRPr="00BD5A7D" w:rsidRDefault="00A5101A" w:rsidP="00A5101A">
      <w:pPr>
        <w:pStyle w:val="Listeavsnitt"/>
        <w:numPr>
          <w:ilvl w:val="0"/>
          <w:numId w:val="18"/>
        </w:numPr>
        <w:spacing w:after="0" w:line="240" w:lineRule="auto"/>
        <w:textAlignment w:val="baseline"/>
        <w:rPr>
          <w:rFonts w:ascii="Calibri" w:eastAsia="Times New Roman" w:hAnsi="Calibri" w:cs="Calibri"/>
          <w:color w:val="000000"/>
        </w:rPr>
      </w:pPr>
      <w:r>
        <w:rPr>
          <w:rFonts w:ascii="Calibri" w:eastAsia="Times New Roman" w:hAnsi="Calibri" w:cs="Calibri"/>
          <w:color w:val="auto"/>
        </w:rPr>
        <w:t xml:space="preserve">I perioden 2012 til 2021 har antallet forskningsrådsfinansierte doktorgrads- og postdoktorårsverk </w:t>
      </w:r>
      <w:r w:rsidRPr="004F0F25">
        <w:rPr>
          <w:rFonts w:ascii="Calibri" w:eastAsia="Times New Roman" w:hAnsi="Calibri" w:cs="Calibri"/>
          <w:color w:val="auto"/>
        </w:rPr>
        <w:t>til UH-sektoren økt</w:t>
      </w:r>
      <w:r>
        <w:rPr>
          <w:rFonts w:ascii="Calibri" w:eastAsia="Times New Roman" w:hAnsi="Calibri" w:cs="Calibri"/>
          <w:color w:val="auto"/>
        </w:rPr>
        <w:t>. UH-s</w:t>
      </w:r>
      <w:r w:rsidRPr="004F0F25">
        <w:rPr>
          <w:rFonts w:ascii="Calibri" w:eastAsia="Times New Roman" w:hAnsi="Calibri" w:cs="Calibri"/>
          <w:color w:val="auto"/>
        </w:rPr>
        <w:t xml:space="preserve">ektorens prosentandel </w:t>
      </w:r>
      <w:r>
        <w:rPr>
          <w:rFonts w:ascii="Calibri" w:eastAsia="Times New Roman" w:hAnsi="Calibri" w:cs="Calibri"/>
          <w:color w:val="auto"/>
        </w:rPr>
        <w:t>e</w:t>
      </w:r>
      <w:r w:rsidRPr="004F0F25">
        <w:rPr>
          <w:rFonts w:ascii="Calibri" w:eastAsia="Times New Roman" w:hAnsi="Calibri" w:cs="Calibri"/>
          <w:color w:val="auto"/>
        </w:rPr>
        <w:t xml:space="preserve">r styrket </w:t>
      </w:r>
      <w:r>
        <w:rPr>
          <w:rFonts w:ascii="Calibri" w:eastAsia="Times New Roman" w:hAnsi="Calibri" w:cs="Calibri"/>
          <w:color w:val="auto"/>
        </w:rPr>
        <w:t xml:space="preserve">på begge nivåer. </w:t>
      </w:r>
      <w:r w:rsidRPr="505B6C1C">
        <w:rPr>
          <w:rFonts w:ascii="Calibri" w:eastAsia="Times New Roman" w:hAnsi="Calibri" w:cs="Calibri"/>
          <w:b/>
          <w:bCs/>
          <w:i/>
          <w:iCs/>
          <w:color w:val="auto"/>
        </w:rPr>
        <w:t xml:space="preserve"> </w:t>
      </w:r>
    </w:p>
    <w:p w14:paraId="6AF81C03" w14:textId="77777777" w:rsidR="00A5101A" w:rsidRDefault="00A5101A" w:rsidP="00A5101A">
      <w:pPr>
        <w:pStyle w:val="Listeavsnitt"/>
        <w:numPr>
          <w:ilvl w:val="0"/>
          <w:numId w:val="18"/>
        </w:numPr>
        <w:spacing w:after="0" w:line="240" w:lineRule="auto"/>
        <w:textAlignment w:val="baseline"/>
        <w:rPr>
          <w:rFonts w:ascii="Calibri" w:eastAsia="Times New Roman" w:hAnsi="Calibri" w:cs="Calibri"/>
          <w:color w:val="000000"/>
        </w:rPr>
      </w:pPr>
      <w:r w:rsidRPr="505B6C1C">
        <w:rPr>
          <w:rFonts w:ascii="Calibri" w:eastAsia="Times New Roman" w:hAnsi="Calibri" w:cs="Calibri"/>
          <w:color w:val="000000" w:themeColor="accent6"/>
        </w:rPr>
        <w:t xml:space="preserve">I samme periode var det en nedgang i de forskningsrådsfinansierte doktorgradsårsverkene til instituttsektoren på 28 prosent. </w:t>
      </w:r>
    </w:p>
    <w:p w14:paraId="4B57873D" w14:textId="77777777" w:rsidR="00A5101A" w:rsidRDefault="00A5101A" w:rsidP="00A5101A">
      <w:pPr>
        <w:pStyle w:val="Listeavsnitt"/>
        <w:numPr>
          <w:ilvl w:val="0"/>
          <w:numId w:val="18"/>
        </w:numPr>
        <w:spacing w:after="0" w:line="240" w:lineRule="auto"/>
        <w:textAlignment w:val="baseline"/>
        <w:rPr>
          <w:rFonts w:ascii="Calibri" w:eastAsia="Times New Roman" w:hAnsi="Calibri" w:cs="Calibri"/>
          <w:color w:val="000000"/>
        </w:rPr>
      </w:pPr>
      <w:r w:rsidRPr="505B6C1C">
        <w:rPr>
          <w:rFonts w:ascii="Calibri" w:eastAsia="Times New Roman" w:hAnsi="Calibri" w:cs="Calibri"/>
          <w:color w:val="auto"/>
        </w:rPr>
        <w:t xml:space="preserve">Porteføljene </w:t>
      </w:r>
      <w:r w:rsidRPr="00D54649">
        <w:rPr>
          <w:rFonts w:ascii="Calibri" w:eastAsia="Times New Roman" w:hAnsi="Calibri" w:cs="Calibri"/>
          <w:i/>
          <w:iCs/>
          <w:color w:val="auto"/>
        </w:rPr>
        <w:t>Industri og tjenestenæringer,</w:t>
      </w:r>
      <w:r w:rsidRPr="505B6C1C">
        <w:rPr>
          <w:rFonts w:ascii="Calibri" w:eastAsia="Times New Roman" w:hAnsi="Calibri" w:cs="Calibri"/>
          <w:color w:val="auto"/>
        </w:rPr>
        <w:t xml:space="preserve"> </w:t>
      </w:r>
      <w:r w:rsidRPr="00D54649">
        <w:rPr>
          <w:rFonts w:ascii="Calibri" w:eastAsia="Times New Roman" w:hAnsi="Calibri" w:cs="Calibri"/>
          <w:i/>
          <w:iCs/>
          <w:color w:val="auto"/>
        </w:rPr>
        <w:t>Hav, Landbasert mat, miljø og bioressurser</w:t>
      </w:r>
      <w:r w:rsidRPr="505B6C1C">
        <w:rPr>
          <w:rFonts w:ascii="Calibri" w:eastAsia="Times New Roman" w:hAnsi="Calibri" w:cs="Calibri"/>
          <w:color w:val="auto"/>
        </w:rPr>
        <w:t xml:space="preserve"> og </w:t>
      </w:r>
      <w:r w:rsidRPr="00D54649">
        <w:rPr>
          <w:rFonts w:ascii="Calibri" w:eastAsia="Times New Roman" w:hAnsi="Calibri" w:cs="Calibri"/>
          <w:i/>
          <w:iCs/>
          <w:color w:val="auto"/>
        </w:rPr>
        <w:t>Samis</w:t>
      </w:r>
      <w:r w:rsidRPr="505B6C1C">
        <w:rPr>
          <w:rFonts w:ascii="Calibri" w:eastAsia="Times New Roman" w:hAnsi="Calibri" w:cs="Calibri"/>
          <w:color w:val="auto"/>
        </w:rPr>
        <w:t>k var porteføljene som relativt sett brukte lavest prosentandel av sine budsjetter til rekrutteringsårsverk i perioden 2019-2021.</w:t>
      </w:r>
    </w:p>
    <w:p w14:paraId="77EC1B94" w14:textId="77777777" w:rsidR="00A5101A" w:rsidRDefault="00A5101A" w:rsidP="00A5101A">
      <w:pPr>
        <w:pStyle w:val="Listeavsnitt"/>
        <w:numPr>
          <w:ilvl w:val="0"/>
          <w:numId w:val="18"/>
        </w:numPr>
        <w:spacing w:after="0" w:line="240" w:lineRule="auto"/>
        <w:rPr>
          <w:rFonts w:ascii="Calibri" w:eastAsia="Times New Roman" w:hAnsi="Calibri" w:cs="Calibri"/>
          <w:color w:val="000000" w:themeColor="accent6"/>
        </w:rPr>
      </w:pPr>
      <w:r w:rsidRPr="505B6C1C">
        <w:rPr>
          <w:rFonts w:ascii="Calibri" w:eastAsia="Times New Roman" w:hAnsi="Calibri" w:cs="Calibri"/>
          <w:color w:val="000000" w:themeColor="accent6"/>
        </w:rPr>
        <w:t xml:space="preserve">Sammenliknet med de øvrige satsingsområdene, var det </w:t>
      </w:r>
      <w:r w:rsidRPr="00D54649">
        <w:rPr>
          <w:rFonts w:ascii="Calibri" w:eastAsia="Times New Roman" w:hAnsi="Calibri" w:cs="Calibri"/>
          <w:i/>
          <w:iCs/>
          <w:color w:val="000000" w:themeColor="accent6"/>
        </w:rPr>
        <w:t>Sentre for fremragende forskning</w:t>
      </w:r>
      <w:r>
        <w:rPr>
          <w:rFonts w:ascii="Calibri" w:eastAsia="Times New Roman" w:hAnsi="Calibri" w:cs="Calibri"/>
          <w:color w:val="000000" w:themeColor="accent6"/>
        </w:rPr>
        <w:t xml:space="preserve"> (SFF) </w:t>
      </w:r>
      <w:r w:rsidRPr="505B6C1C">
        <w:rPr>
          <w:rFonts w:ascii="Calibri" w:eastAsia="Times New Roman" w:hAnsi="Calibri" w:cs="Calibri"/>
          <w:color w:val="000000" w:themeColor="accent6"/>
        </w:rPr>
        <w:t xml:space="preserve">og </w:t>
      </w:r>
      <w:r w:rsidRPr="00D54649">
        <w:rPr>
          <w:rFonts w:ascii="Calibri" w:eastAsia="Times New Roman" w:hAnsi="Calibri" w:cs="Calibri"/>
          <w:i/>
          <w:iCs/>
          <w:color w:val="000000" w:themeColor="accent6"/>
        </w:rPr>
        <w:t>Sentre for forsknings</w:t>
      </w:r>
      <w:r>
        <w:rPr>
          <w:rFonts w:ascii="Calibri" w:eastAsia="Times New Roman" w:hAnsi="Calibri" w:cs="Calibri"/>
          <w:i/>
          <w:iCs/>
          <w:color w:val="000000" w:themeColor="accent6"/>
        </w:rPr>
        <w:t>drevet</w:t>
      </w:r>
      <w:r w:rsidRPr="00D54649">
        <w:rPr>
          <w:rFonts w:ascii="Calibri" w:eastAsia="Times New Roman" w:hAnsi="Calibri" w:cs="Calibri"/>
          <w:i/>
          <w:iCs/>
          <w:color w:val="000000" w:themeColor="accent6"/>
        </w:rPr>
        <w:t xml:space="preserve"> innovasjon</w:t>
      </w:r>
      <w:r>
        <w:rPr>
          <w:rFonts w:ascii="Calibri" w:eastAsia="Times New Roman" w:hAnsi="Calibri" w:cs="Calibri"/>
          <w:color w:val="000000" w:themeColor="accent6"/>
        </w:rPr>
        <w:t xml:space="preserve"> (S</w:t>
      </w:r>
      <w:r w:rsidRPr="505B6C1C">
        <w:rPr>
          <w:rFonts w:ascii="Calibri" w:eastAsia="Times New Roman" w:hAnsi="Calibri" w:cs="Calibri"/>
          <w:color w:val="000000" w:themeColor="accent6"/>
        </w:rPr>
        <w:t>FI</w:t>
      </w:r>
      <w:r>
        <w:rPr>
          <w:rFonts w:ascii="Calibri" w:eastAsia="Times New Roman" w:hAnsi="Calibri" w:cs="Calibri"/>
          <w:color w:val="000000" w:themeColor="accent6"/>
        </w:rPr>
        <w:t>)</w:t>
      </w:r>
      <w:r w:rsidRPr="505B6C1C">
        <w:rPr>
          <w:rFonts w:ascii="Calibri" w:eastAsia="Times New Roman" w:hAnsi="Calibri" w:cs="Calibri"/>
          <w:color w:val="000000" w:themeColor="accent6"/>
        </w:rPr>
        <w:t xml:space="preserve"> som brukte høyest prosentandel av sine budsjetter til å finansiere rekrutteringsstillinger (i 2019-2021).</w:t>
      </w:r>
    </w:p>
    <w:p w14:paraId="37EAF69A" w14:textId="77777777" w:rsidR="00A5101A" w:rsidRDefault="00A5101A" w:rsidP="00A5101A">
      <w:pPr>
        <w:pStyle w:val="Listeavsnitt"/>
        <w:numPr>
          <w:ilvl w:val="0"/>
          <w:numId w:val="18"/>
        </w:numPr>
        <w:spacing w:after="0" w:line="240" w:lineRule="auto"/>
        <w:rPr>
          <w:rFonts w:ascii="Calibri" w:eastAsia="Times New Roman" w:hAnsi="Calibri" w:cs="Calibri"/>
          <w:color w:val="000000" w:themeColor="accent6"/>
        </w:rPr>
      </w:pPr>
      <w:r w:rsidRPr="505B6C1C">
        <w:rPr>
          <w:rFonts w:ascii="Calibri" w:eastAsia="Times New Roman" w:hAnsi="Calibri" w:cs="Calibri"/>
          <w:color w:val="000000" w:themeColor="accent6"/>
        </w:rPr>
        <w:t xml:space="preserve">Fagporteføljene </w:t>
      </w:r>
      <w:r w:rsidRPr="00D54649">
        <w:rPr>
          <w:rFonts w:ascii="Calibri" w:eastAsia="Times New Roman" w:hAnsi="Calibri" w:cs="Calibri"/>
          <w:i/>
          <w:iCs/>
          <w:color w:val="000000" w:themeColor="accent6"/>
        </w:rPr>
        <w:t>Humaniora og samfunnsvitenskap</w:t>
      </w:r>
      <w:r w:rsidRPr="505B6C1C">
        <w:rPr>
          <w:rFonts w:ascii="Calibri" w:eastAsia="Times New Roman" w:hAnsi="Calibri" w:cs="Calibri"/>
          <w:color w:val="000000" w:themeColor="accent6"/>
        </w:rPr>
        <w:t xml:space="preserve"> (Humsam), </w:t>
      </w:r>
      <w:r w:rsidRPr="00D54649">
        <w:rPr>
          <w:rFonts w:ascii="Calibri" w:eastAsia="Times New Roman" w:hAnsi="Calibri" w:cs="Calibri"/>
          <w:i/>
          <w:iCs/>
          <w:color w:val="000000" w:themeColor="accent6"/>
        </w:rPr>
        <w:t>Livsvitenskap</w:t>
      </w:r>
      <w:r w:rsidRPr="505B6C1C">
        <w:rPr>
          <w:rFonts w:ascii="Calibri" w:eastAsia="Times New Roman" w:hAnsi="Calibri" w:cs="Calibri"/>
          <w:color w:val="000000" w:themeColor="accent6"/>
        </w:rPr>
        <w:t xml:space="preserve"> og </w:t>
      </w:r>
      <w:r w:rsidRPr="00D54649">
        <w:rPr>
          <w:rFonts w:ascii="Calibri" w:eastAsia="Times New Roman" w:hAnsi="Calibri" w:cs="Calibri"/>
          <w:i/>
          <w:iCs/>
          <w:color w:val="000000" w:themeColor="accent6"/>
        </w:rPr>
        <w:t>Naturvitenskap og teknologi</w:t>
      </w:r>
      <w:r w:rsidRPr="505B6C1C">
        <w:rPr>
          <w:rFonts w:ascii="Calibri" w:eastAsia="Times New Roman" w:hAnsi="Calibri" w:cs="Calibri"/>
          <w:color w:val="000000" w:themeColor="accent6"/>
        </w:rPr>
        <w:t xml:space="preserve"> (Natek), kommer høyt opp i oversikten over porteføljer som bruker en høy andel av sine budsjetter til rekrutteringsstillinger. Ser vi bort fra </w:t>
      </w:r>
      <w:r>
        <w:rPr>
          <w:rFonts w:ascii="Calibri" w:eastAsia="Times New Roman" w:hAnsi="Calibri" w:cs="Calibri"/>
          <w:color w:val="000000" w:themeColor="accent6"/>
        </w:rPr>
        <w:t xml:space="preserve">ordningene </w:t>
      </w:r>
      <w:r w:rsidRPr="00D54649">
        <w:rPr>
          <w:rFonts w:ascii="Calibri" w:eastAsia="Times New Roman" w:hAnsi="Calibri" w:cs="Calibri"/>
          <w:i/>
          <w:iCs/>
          <w:color w:val="000000" w:themeColor="accent6"/>
        </w:rPr>
        <w:t>Nærings- ph.d.</w:t>
      </w:r>
      <w:r w:rsidRPr="505B6C1C">
        <w:rPr>
          <w:rFonts w:ascii="Calibri" w:eastAsia="Times New Roman" w:hAnsi="Calibri" w:cs="Calibri"/>
          <w:color w:val="000000" w:themeColor="accent6"/>
        </w:rPr>
        <w:t xml:space="preserve"> og </w:t>
      </w:r>
      <w:r w:rsidRPr="00D54649">
        <w:rPr>
          <w:rFonts w:ascii="Calibri" w:eastAsia="Times New Roman" w:hAnsi="Calibri" w:cs="Calibri"/>
          <w:i/>
          <w:iCs/>
          <w:color w:val="000000" w:themeColor="accent6"/>
        </w:rPr>
        <w:t>Offentlig sektor- ph.d.</w:t>
      </w:r>
      <w:r>
        <w:rPr>
          <w:rFonts w:ascii="Calibri" w:eastAsia="Times New Roman" w:hAnsi="Calibri" w:cs="Calibri"/>
          <w:color w:val="000000" w:themeColor="accent6"/>
        </w:rPr>
        <w:t xml:space="preserve"> </w:t>
      </w:r>
      <w:r w:rsidRPr="505B6C1C">
        <w:rPr>
          <w:rFonts w:ascii="Calibri" w:eastAsia="Times New Roman" w:hAnsi="Calibri" w:cs="Calibri"/>
          <w:color w:val="000000" w:themeColor="accent6"/>
        </w:rPr>
        <w:t xml:space="preserve">(sistnevnte inngår i Porteføljen for </w:t>
      </w:r>
      <w:r>
        <w:rPr>
          <w:rFonts w:ascii="Calibri" w:eastAsia="Times New Roman" w:hAnsi="Calibri" w:cs="Calibri"/>
          <w:color w:val="000000" w:themeColor="accent6"/>
        </w:rPr>
        <w:t>d</w:t>
      </w:r>
      <w:r w:rsidRPr="505B6C1C">
        <w:rPr>
          <w:rFonts w:ascii="Calibri" w:eastAsia="Times New Roman" w:hAnsi="Calibri" w:cs="Calibri"/>
          <w:color w:val="000000" w:themeColor="accent6"/>
        </w:rPr>
        <w:t xml:space="preserve">emokrati, styring og fornyelse), som er virkemidlet for å finansiere doktorgradsårsverk, er det bare SFF og SFI som brukte høyere andel av sine budsjetter til rekrutteringsstillinger.  </w:t>
      </w:r>
    </w:p>
    <w:p w14:paraId="4D02A1C9" w14:textId="3F1F40CA" w:rsidR="00B93755" w:rsidRDefault="00B93755" w:rsidP="00A5101A">
      <w:pPr>
        <w:pStyle w:val="Listeavsnitt"/>
        <w:numPr>
          <w:ilvl w:val="0"/>
          <w:numId w:val="18"/>
        </w:numPr>
        <w:spacing w:after="0" w:line="240" w:lineRule="auto"/>
        <w:rPr>
          <w:rFonts w:ascii="Calibri" w:eastAsia="Times New Roman" w:hAnsi="Calibri" w:cs="Calibri"/>
          <w:color w:val="000000" w:themeColor="accent6"/>
        </w:rPr>
      </w:pPr>
      <w:r w:rsidRPr="00B93755">
        <w:rPr>
          <w:rFonts w:ascii="Calibri" w:eastAsia="Times New Roman" w:hAnsi="Calibri" w:cs="Calibri"/>
          <w:color w:val="000000" w:themeColor="accent6"/>
        </w:rPr>
        <w:t>En femtedel av doktorgradsårsverkene ble finansiert til kunnskapsflyt og sektorsamspill</w:t>
      </w:r>
      <w:r w:rsidR="000A5193">
        <w:rPr>
          <w:rFonts w:ascii="Calibri" w:eastAsia="Times New Roman" w:hAnsi="Calibri" w:cs="Calibri"/>
          <w:color w:val="000000" w:themeColor="accent6"/>
        </w:rPr>
        <w:t>.</w:t>
      </w:r>
    </w:p>
    <w:p w14:paraId="4C0332E8" w14:textId="77777777" w:rsidR="00A5101A" w:rsidRDefault="00A5101A" w:rsidP="00A5101A">
      <w:pPr>
        <w:pStyle w:val="Listeavsnitt"/>
        <w:numPr>
          <w:ilvl w:val="0"/>
          <w:numId w:val="18"/>
        </w:numPr>
        <w:spacing w:after="0" w:line="240" w:lineRule="auto"/>
        <w:textAlignment w:val="baseline"/>
        <w:rPr>
          <w:rFonts w:ascii="Calibri" w:eastAsia="Times New Roman" w:hAnsi="Calibri" w:cs="Calibri"/>
          <w:color w:val="auto"/>
        </w:rPr>
      </w:pPr>
      <w:r>
        <w:rPr>
          <w:rFonts w:ascii="Calibri" w:eastAsia="Times New Roman" w:hAnsi="Calibri" w:cs="Calibri"/>
          <w:color w:val="000000"/>
        </w:rPr>
        <w:t xml:space="preserve">I 2021 var 44 prosent av de som avla doktorgraden i Norge, </w:t>
      </w:r>
      <w:r w:rsidRPr="003801FE">
        <w:rPr>
          <w:rFonts w:ascii="Calibri" w:eastAsia="Times New Roman" w:hAnsi="Calibri" w:cs="Calibri"/>
          <w:color w:val="000000"/>
        </w:rPr>
        <w:t>utenlandske statsborgere</w:t>
      </w:r>
      <w:r>
        <w:rPr>
          <w:rFonts w:ascii="Calibri" w:eastAsia="Times New Roman" w:hAnsi="Calibri" w:cs="Calibri"/>
          <w:color w:val="000000"/>
        </w:rPr>
        <w:t xml:space="preserve">. </w:t>
      </w:r>
      <w:r w:rsidRPr="003801FE">
        <w:rPr>
          <w:rFonts w:ascii="Calibri" w:eastAsia="Times New Roman" w:hAnsi="Calibri" w:cs="Calibri"/>
          <w:color w:val="000000"/>
        </w:rPr>
        <w:t xml:space="preserve">Andelen </w:t>
      </w:r>
      <w:r>
        <w:rPr>
          <w:rFonts w:ascii="Calibri" w:eastAsia="Times New Roman" w:hAnsi="Calibri" w:cs="Calibri"/>
          <w:color w:val="000000"/>
        </w:rPr>
        <w:t xml:space="preserve">med utenlandsk statsborgerskap </w:t>
      </w:r>
      <w:r w:rsidRPr="003801FE">
        <w:rPr>
          <w:rFonts w:ascii="Calibri" w:eastAsia="Times New Roman" w:hAnsi="Calibri" w:cs="Calibri"/>
          <w:color w:val="000000"/>
        </w:rPr>
        <w:t>har mer enn doblet seg de siste 20 årene, og har aldri vært høyere</w:t>
      </w:r>
      <w:r>
        <w:rPr>
          <w:rFonts w:ascii="Calibri" w:eastAsia="Times New Roman" w:hAnsi="Calibri" w:cs="Calibri"/>
          <w:color w:val="000000"/>
        </w:rPr>
        <w:t xml:space="preserve">.  </w:t>
      </w:r>
    </w:p>
    <w:p w14:paraId="31C4DAA1" w14:textId="77777777" w:rsidR="00A5101A" w:rsidRDefault="00A5101A" w:rsidP="00A5101A">
      <w:pPr>
        <w:pStyle w:val="Listeavsnitt"/>
        <w:numPr>
          <w:ilvl w:val="0"/>
          <w:numId w:val="18"/>
        </w:numPr>
        <w:spacing w:after="0" w:line="240" w:lineRule="auto"/>
        <w:textAlignment w:val="baseline"/>
        <w:rPr>
          <w:rFonts w:ascii="Calibri" w:eastAsia="Times New Roman" w:hAnsi="Calibri" w:cs="Calibri"/>
          <w:color w:val="auto"/>
        </w:rPr>
      </w:pPr>
      <w:r w:rsidRPr="00AB70E9">
        <w:rPr>
          <w:rFonts w:ascii="Calibri" w:eastAsia="Times New Roman" w:hAnsi="Calibri" w:cs="Calibri"/>
          <w:color w:val="auto"/>
        </w:rPr>
        <w:t xml:space="preserve">Halvparten av stipendiatene som mottar utenlandsstipend </w:t>
      </w:r>
      <w:r>
        <w:rPr>
          <w:rFonts w:ascii="Calibri" w:eastAsia="Times New Roman" w:hAnsi="Calibri" w:cs="Calibri"/>
          <w:color w:val="auto"/>
        </w:rPr>
        <w:t xml:space="preserve">fra Forskningsrådet </w:t>
      </w:r>
      <w:r w:rsidRPr="00AB70E9">
        <w:rPr>
          <w:rFonts w:ascii="Calibri" w:eastAsia="Times New Roman" w:hAnsi="Calibri" w:cs="Calibri"/>
          <w:color w:val="auto"/>
        </w:rPr>
        <w:t>er kvinner</w:t>
      </w:r>
      <w:r>
        <w:rPr>
          <w:rFonts w:ascii="Calibri" w:eastAsia="Times New Roman" w:hAnsi="Calibri" w:cs="Calibri"/>
          <w:color w:val="auto"/>
        </w:rPr>
        <w:t>.</w:t>
      </w:r>
      <w:r w:rsidRPr="00AB70E9">
        <w:rPr>
          <w:rFonts w:ascii="Calibri" w:eastAsia="Times New Roman" w:hAnsi="Calibri" w:cs="Calibri"/>
          <w:color w:val="auto"/>
        </w:rPr>
        <w:t xml:space="preserve"> </w:t>
      </w:r>
      <w:r w:rsidRPr="004F0F25">
        <w:rPr>
          <w:rFonts w:ascii="Calibri" w:eastAsia="Times New Roman" w:hAnsi="Calibri" w:cs="Calibri"/>
          <w:color w:val="000000"/>
        </w:rPr>
        <w:t>Ta</w:t>
      </w:r>
      <w:r>
        <w:rPr>
          <w:rFonts w:ascii="Calibri" w:eastAsia="Times New Roman" w:hAnsi="Calibri" w:cs="Calibri"/>
          <w:color w:val="000000"/>
        </w:rPr>
        <w:t xml:space="preserve">tt i </w:t>
      </w:r>
      <w:r w:rsidRPr="004F0F25">
        <w:rPr>
          <w:rFonts w:ascii="Calibri" w:eastAsia="Times New Roman" w:hAnsi="Calibri" w:cs="Calibri"/>
          <w:color w:val="000000"/>
        </w:rPr>
        <w:t>betraktning at Forskningsrådet finansierte litt flere rekrutteringsårsverk til menn</w:t>
      </w:r>
      <w:r>
        <w:rPr>
          <w:rFonts w:ascii="Calibri" w:eastAsia="Times New Roman" w:hAnsi="Calibri" w:cs="Calibri"/>
          <w:color w:val="000000"/>
        </w:rPr>
        <w:t xml:space="preserve">, </w:t>
      </w:r>
      <w:r w:rsidRPr="004F0F25">
        <w:rPr>
          <w:rFonts w:ascii="Calibri" w:eastAsia="Times New Roman" w:hAnsi="Calibri" w:cs="Calibri"/>
          <w:color w:val="000000"/>
        </w:rPr>
        <w:t>er det en noe større andel kvinner som har fått utenlandsstipend enn menn.</w:t>
      </w:r>
    </w:p>
    <w:p w14:paraId="68041EFD" w14:textId="77777777" w:rsidR="00A5101A" w:rsidRPr="00D36B39" w:rsidRDefault="00A5101A" w:rsidP="00A5101A">
      <w:pPr>
        <w:pStyle w:val="Listeavsnitt"/>
        <w:numPr>
          <w:ilvl w:val="0"/>
          <w:numId w:val="18"/>
        </w:numPr>
        <w:spacing w:after="0" w:line="240" w:lineRule="auto"/>
        <w:textAlignment w:val="baseline"/>
        <w:rPr>
          <w:rFonts w:ascii="Calibri" w:eastAsia="Times New Roman" w:hAnsi="Calibri" w:cs="Calibri"/>
          <w:color w:val="auto"/>
        </w:rPr>
      </w:pPr>
      <w:r w:rsidRPr="00D36B39">
        <w:rPr>
          <w:rFonts w:ascii="Calibri" w:eastAsia="Times New Roman" w:hAnsi="Calibri" w:cs="Calibri"/>
          <w:color w:val="000000"/>
        </w:rPr>
        <w:t xml:space="preserve">Litt flere kvinner enn menn har mottatt </w:t>
      </w:r>
      <w:r w:rsidRPr="00D36B39">
        <w:rPr>
          <w:rFonts w:ascii="Calibri" w:eastAsia="Times New Roman" w:hAnsi="Calibri" w:cs="Calibri"/>
          <w:i/>
          <w:iCs/>
          <w:color w:val="000000"/>
        </w:rPr>
        <w:t>Treårig forskerprosjekt med internasjonal mobilitet</w:t>
      </w:r>
      <w:r w:rsidRPr="00D36B39">
        <w:rPr>
          <w:rFonts w:ascii="Calibri" w:eastAsia="Times New Roman" w:hAnsi="Calibri" w:cs="Calibri"/>
          <w:color w:val="000000"/>
        </w:rPr>
        <w:t>.</w:t>
      </w:r>
    </w:p>
    <w:p w14:paraId="4A2AF538" w14:textId="77777777" w:rsidR="004F5CCD" w:rsidRPr="004F5CCD" w:rsidRDefault="00A5101A" w:rsidP="00C42A54">
      <w:pPr>
        <w:pStyle w:val="Listeavsnitt"/>
        <w:numPr>
          <w:ilvl w:val="0"/>
          <w:numId w:val="18"/>
        </w:numPr>
        <w:spacing w:after="0" w:line="240" w:lineRule="auto"/>
        <w:textAlignment w:val="baseline"/>
        <w:rPr>
          <w:rFonts w:ascii="Calibri" w:eastAsia="Times New Roman" w:hAnsi="Calibri" w:cs="Calibri"/>
          <w:color w:val="auto"/>
        </w:rPr>
      </w:pPr>
      <w:r w:rsidRPr="00D36B39">
        <w:rPr>
          <w:rFonts w:ascii="Calibri" w:eastAsia="Times New Roman" w:hAnsi="Calibri" w:cs="Calibri"/>
          <w:color w:val="000000"/>
        </w:rPr>
        <w:t xml:space="preserve">Å få bevilging fra </w:t>
      </w:r>
      <w:r w:rsidRPr="002475BD">
        <w:rPr>
          <w:rFonts w:ascii="Calibri" w:eastAsia="Times New Roman" w:hAnsi="Calibri" w:cs="Calibri"/>
          <w:i/>
          <w:iCs/>
          <w:color w:val="000000"/>
        </w:rPr>
        <w:t xml:space="preserve">Unge forskertalenter </w:t>
      </w:r>
      <w:r w:rsidRPr="00D36B39">
        <w:rPr>
          <w:rFonts w:ascii="Calibri" w:eastAsia="Times New Roman" w:hAnsi="Calibri" w:cs="Calibri"/>
          <w:color w:val="000000"/>
        </w:rPr>
        <w:t xml:space="preserve">bidrar til god karriereutvikling. </w:t>
      </w:r>
    </w:p>
    <w:p w14:paraId="4F0FF526" w14:textId="5104B99B" w:rsidR="00A5101A" w:rsidRPr="004F5CCD" w:rsidRDefault="00A5101A" w:rsidP="004F5CCD">
      <w:pPr>
        <w:pStyle w:val="Listeavsnitt"/>
        <w:numPr>
          <w:ilvl w:val="0"/>
          <w:numId w:val="18"/>
        </w:numPr>
        <w:spacing w:after="0" w:line="240" w:lineRule="auto"/>
        <w:textAlignment w:val="baseline"/>
        <w:rPr>
          <w:rFonts w:ascii="Calibri" w:eastAsia="Times New Roman" w:hAnsi="Calibri" w:cs="Calibri"/>
          <w:color w:val="auto"/>
        </w:rPr>
      </w:pPr>
      <w:r w:rsidRPr="00C42A54">
        <w:rPr>
          <w:rFonts w:ascii="Calibri" w:eastAsia="Times New Roman" w:hAnsi="Calibri" w:cs="Calibri"/>
          <w:color w:val="auto"/>
        </w:rPr>
        <w:lastRenderedPageBreak/>
        <w:t xml:space="preserve">I perioden har det vært tildelt 1148 forskelinjestipender. Erfaringen er at de lengre stipendene er gode virkemidler for å rekruttere til forskning. </w:t>
      </w:r>
    </w:p>
    <w:p w14:paraId="1EE1E39A" w14:textId="1108FCF2" w:rsidR="004F0F25" w:rsidRPr="00122263" w:rsidRDefault="00EE63C3" w:rsidP="00A47159">
      <w:pPr>
        <w:pStyle w:val="Overskrift1"/>
        <w:ind w:firstLine="708"/>
      </w:pPr>
      <w:bookmarkStart w:id="2" w:name="_Toc111796572"/>
      <w:r>
        <w:rPr>
          <w:sz w:val="36"/>
          <w:szCs w:val="36"/>
        </w:rPr>
        <w:t>3</w:t>
      </w:r>
      <w:r w:rsidR="00235288" w:rsidRPr="5033FB75">
        <w:rPr>
          <w:sz w:val="36"/>
          <w:szCs w:val="36"/>
        </w:rPr>
        <w:t>.</w:t>
      </w:r>
      <w:r w:rsidR="004F0F25" w:rsidRPr="5033FB75">
        <w:rPr>
          <w:sz w:val="36"/>
          <w:szCs w:val="36"/>
        </w:rPr>
        <w:t>  </w:t>
      </w:r>
      <w:r w:rsidR="00D63C1F" w:rsidRPr="5033FB75">
        <w:rPr>
          <w:sz w:val="36"/>
          <w:szCs w:val="36"/>
        </w:rPr>
        <w:t>Forskningsrådets rekrutterings</w:t>
      </w:r>
      <w:r w:rsidR="004F0F25" w:rsidRPr="5033FB75">
        <w:rPr>
          <w:sz w:val="36"/>
          <w:szCs w:val="36"/>
        </w:rPr>
        <w:t>innsats</w:t>
      </w:r>
      <w:bookmarkEnd w:id="2"/>
      <w:r w:rsidR="004F0F25" w:rsidRPr="5033FB75">
        <w:rPr>
          <w:sz w:val="36"/>
          <w:szCs w:val="36"/>
        </w:rPr>
        <w:t> </w:t>
      </w:r>
    </w:p>
    <w:p w14:paraId="36D97F6C" w14:textId="5FDFB793" w:rsidR="00D63C85" w:rsidRPr="004F0F25" w:rsidRDefault="00D63C85" w:rsidP="00D63C8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Universiteter og høyskoler med rett til å tildele doktorgrad har hovedansvaret for doktorgradsutdanning og rekruttering til faste vitenskapelig stillinger. Også forskningsinstitutter, helseforetak</w:t>
      </w:r>
      <w:r>
        <w:rPr>
          <w:rFonts w:ascii="Calibri" w:eastAsia="Times New Roman" w:hAnsi="Calibri" w:cs="Calibri"/>
          <w:color w:val="000000"/>
        </w:rPr>
        <w:t>, næringsliv og offentlig sektor</w:t>
      </w:r>
      <w:r w:rsidRPr="004F0F25">
        <w:rPr>
          <w:rFonts w:ascii="Calibri" w:eastAsia="Times New Roman" w:hAnsi="Calibri" w:cs="Calibri"/>
          <w:color w:val="000000"/>
        </w:rPr>
        <w:t xml:space="preserve"> bidrar til rekruttering og doktorgradsutdanning gjennom finansiering av stipendiater, veiledning og gjennom å tilby stimulerende miljøer.   </w:t>
      </w:r>
    </w:p>
    <w:p w14:paraId="50FA1B37" w14:textId="77777777" w:rsidR="00D63C85" w:rsidRDefault="00D63C85" w:rsidP="00D63C85">
      <w:pPr>
        <w:spacing w:after="0" w:line="240" w:lineRule="auto"/>
        <w:textAlignment w:val="baseline"/>
        <w:rPr>
          <w:rFonts w:ascii="Calibri" w:eastAsia="Times New Roman" w:hAnsi="Calibri" w:cs="Calibri"/>
          <w:color w:val="000000"/>
        </w:rPr>
      </w:pPr>
    </w:p>
    <w:p w14:paraId="25F2E3AD" w14:textId="302FDC7B" w:rsidR="00D63C85" w:rsidRDefault="00D63C85" w:rsidP="00D63C8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Forskningsrådets ansvar er sektorovergripende og dekker hele det norske forskningssystemet, inkludert samspill med andre sektorer og internasjonalt forskningssamarbeid. Det viktigste bidrag</w:t>
      </w:r>
      <w:r w:rsidR="005E0484">
        <w:rPr>
          <w:rFonts w:ascii="Calibri" w:eastAsia="Times New Roman" w:hAnsi="Calibri" w:cs="Calibri"/>
          <w:color w:val="000000"/>
        </w:rPr>
        <w:t>et</w:t>
      </w:r>
      <w:r w:rsidRPr="004F0F25">
        <w:rPr>
          <w:rFonts w:ascii="Calibri" w:eastAsia="Times New Roman" w:hAnsi="Calibri" w:cs="Calibri"/>
          <w:color w:val="000000"/>
        </w:rPr>
        <w:t xml:space="preserve"> til rekruttering er gjennom finansiering av </w:t>
      </w:r>
      <w:r>
        <w:rPr>
          <w:rFonts w:ascii="Calibri" w:eastAsia="Times New Roman" w:hAnsi="Calibri" w:cs="Calibri"/>
          <w:color w:val="000000"/>
        </w:rPr>
        <w:t xml:space="preserve">doktorgrads- </w:t>
      </w:r>
      <w:r w:rsidRPr="004F0F25">
        <w:rPr>
          <w:rFonts w:ascii="Calibri" w:eastAsia="Times New Roman" w:hAnsi="Calibri" w:cs="Calibri"/>
          <w:color w:val="000000"/>
        </w:rPr>
        <w:t>og postdoktorstipend, og gjennom kvalitetsfremmende og karrierebyggende tiltak som forskerlinjer, nasjonale forskerskoler og prosjektfinansiering til unge forskertalenter. Forskningsrådet har også en rolle som strategisk rådgiver for departementene.   </w:t>
      </w:r>
    </w:p>
    <w:p w14:paraId="72151D64" w14:textId="77777777" w:rsidR="00D63C85" w:rsidRPr="004F0F25" w:rsidRDefault="00D63C85" w:rsidP="00D63C85">
      <w:pPr>
        <w:spacing w:after="0" w:line="240" w:lineRule="auto"/>
        <w:textAlignment w:val="baseline"/>
        <w:rPr>
          <w:rFonts w:ascii="Calibri" w:eastAsia="Times New Roman" w:hAnsi="Calibri" w:cs="Calibri"/>
          <w:color w:val="000000"/>
        </w:rPr>
      </w:pPr>
    </w:p>
    <w:p w14:paraId="6C32EC59" w14:textId="0F2275A0" w:rsidR="00AA754B" w:rsidRDefault="00D63C85" w:rsidP="00D63C8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xml:space="preserve">De siste 20 årene </w:t>
      </w:r>
      <w:r>
        <w:rPr>
          <w:rFonts w:ascii="Calibri" w:eastAsia="Times New Roman" w:hAnsi="Calibri" w:cs="Calibri"/>
          <w:color w:val="000000"/>
        </w:rPr>
        <w:t xml:space="preserve">er </w:t>
      </w:r>
      <w:r w:rsidRPr="004F0F25">
        <w:rPr>
          <w:rFonts w:ascii="Calibri" w:eastAsia="Times New Roman" w:hAnsi="Calibri" w:cs="Calibri"/>
          <w:color w:val="000000"/>
        </w:rPr>
        <w:t>antall doktorgrader</w:t>
      </w:r>
      <w:r w:rsidRPr="004F0F25">
        <w:rPr>
          <w:rFonts w:ascii="Calibri" w:eastAsia="Times New Roman" w:hAnsi="Calibri" w:cs="Calibri"/>
          <w:b/>
          <w:bCs/>
          <w:color w:val="000000"/>
        </w:rPr>
        <w:t xml:space="preserve"> </w:t>
      </w:r>
      <w:r w:rsidRPr="004F0F25">
        <w:rPr>
          <w:rFonts w:ascii="Calibri" w:eastAsia="Times New Roman" w:hAnsi="Calibri" w:cs="Calibri"/>
          <w:color w:val="000000"/>
        </w:rPr>
        <w:t xml:space="preserve">som avlegges årlig </w:t>
      </w:r>
      <w:r w:rsidR="00642354">
        <w:rPr>
          <w:rFonts w:ascii="Calibri" w:eastAsia="Times New Roman" w:hAnsi="Calibri" w:cs="Calibri"/>
          <w:color w:val="000000"/>
        </w:rPr>
        <w:t xml:space="preserve">mer enn </w:t>
      </w:r>
      <w:r w:rsidRPr="004F0F25">
        <w:rPr>
          <w:rFonts w:ascii="Calibri" w:eastAsia="Times New Roman" w:hAnsi="Calibri" w:cs="Calibri"/>
          <w:color w:val="000000"/>
        </w:rPr>
        <w:t>doblet</w:t>
      </w:r>
      <w:r w:rsidR="00642354">
        <w:rPr>
          <w:rStyle w:val="Fotnotereferanse"/>
          <w:rFonts w:ascii="Calibri" w:eastAsia="Times New Roman" w:hAnsi="Calibri" w:cs="Calibri"/>
          <w:color w:val="000000"/>
        </w:rPr>
        <w:footnoteReference w:id="3"/>
      </w:r>
      <w:r>
        <w:rPr>
          <w:rFonts w:ascii="Calibri" w:eastAsia="Times New Roman" w:hAnsi="Calibri" w:cs="Calibri"/>
          <w:color w:val="000000"/>
        </w:rPr>
        <w:t>.</w:t>
      </w:r>
      <w:r w:rsidRPr="004F0F25">
        <w:rPr>
          <w:rFonts w:ascii="Calibri" w:eastAsia="Times New Roman" w:hAnsi="Calibri" w:cs="Calibri"/>
          <w:color w:val="000000"/>
        </w:rPr>
        <w:t xml:space="preserve"> </w:t>
      </w:r>
      <w:r w:rsidR="00CD1A01" w:rsidRPr="00CD1A01">
        <w:rPr>
          <w:rFonts w:ascii="Calibri" w:eastAsia="Times New Roman" w:hAnsi="Calibri" w:cs="Calibri"/>
          <w:color w:val="000000"/>
        </w:rPr>
        <w:t>Økningen må ses i sammenheng med store endringer i norsk doktorgradsutdanning. Gradsstrukturen har blitt lagt om, flere læresteder har blitt akkreditert til å tildele doktorgrad, og bevilgningene til stipendiatstillinger har hatt stor vekst</w:t>
      </w:r>
      <w:r w:rsidR="00CD1A01">
        <w:rPr>
          <w:rStyle w:val="Fotnotereferanse"/>
          <w:rFonts w:ascii="Calibri" w:eastAsia="Times New Roman" w:hAnsi="Calibri" w:cs="Calibri"/>
          <w:color w:val="000000"/>
        </w:rPr>
        <w:footnoteReference w:id="4"/>
      </w:r>
      <w:r w:rsidR="00CD1A01" w:rsidRPr="00CD1A01">
        <w:rPr>
          <w:rFonts w:ascii="Calibri" w:eastAsia="Times New Roman" w:hAnsi="Calibri" w:cs="Calibri"/>
          <w:color w:val="000000"/>
        </w:rPr>
        <w:t>.</w:t>
      </w:r>
      <w:r w:rsidR="00AA754B">
        <w:rPr>
          <w:rFonts w:ascii="Calibri" w:eastAsia="Times New Roman" w:hAnsi="Calibri" w:cs="Calibri"/>
          <w:color w:val="000000"/>
        </w:rPr>
        <w:t xml:space="preserve"> I </w:t>
      </w:r>
      <w:r>
        <w:rPr>
          <w:rFonts w:ascii="Calibri" w:eastAsia="Times New Roman" w:hAnsi="Calibri" w:cs="Calibri"/>
          <w:color w:val="000000"/>
        </w:rPr>
        <w:t xml:space="preserve">2021 var 44 prosent av doktorandene </w:t>
      </w:r>
      <w:r w:rsidRPr="003801FE">
        <w:rPr>
          <w:rFonts w:ascii="Calibri" w:eastAsia="Times New Roman" w:hAnsi="Calibri" w:cs="Calibri"/>
          <w:color w:val="000000"/>
        </w:rPr>
        <w:t>utenlandske statsborgere</w:t>
      </w:r>
      <w:r>
        <w:rPr>
          <w:rFonts w:ascii="Calibri" w:eastAsia="Times New Roman" w:hAnsi="Calibri" w:cs="Calibri"/>
          <w:color w:val="000000"/>
        </w:rPr>
        <w:t xml:space="preserve">. </w:t>
      </w:r>
      <w:r w:rsidR="00BC02E8">
        <w:rPr>
          <w:rFonts w:ascii="Calibri" w:eastAsia="Times New Roman" w:hAnsi="Calibri" w:cs="Calibri"/>
          <w:color w:val="000000"/>
        </w:rPr>
        <w:t xml:space="preserve">Litt over </w:t>
      </w:r>
      <w:r w:rsidR="00BC02E8" w:rsidRPr="004F0F25">
        <w:rPr>
          <w:rFonts w:ascii="Calibri" w:eastAsia="Times New Roman" w:hAnsi="Calibri" w:cs="Calibri"/>
          <w:color w:val="000000"/>
        </w:rPr>
        <w:t xml:space="preserve">halvparten av </w:t>
      </w:r>
      <w:r w:rsidR="00BC02E8">
        <w:rPr>
          <w:rFonts w:ascii="Calibri" w:eastAsia="Times New Roman" w:hAnsi="Calibri" w:cs="Calibri"/>
          <w:color w:val="000000"/>
        </w:rPr>
        <w:t>doktorgradene</w:t>
      </w:r>
      <w:r w:rsidR="00BC02E8" w:rsidRPr="004F0F25">
        <w:rPr>
          <w:rFonts w:ascii="Calibri" w:eastAsia="Times New Roman" w:hAnsi="Calibri" w:cs="Calibri"/>
          <w:color w:val="000000"/>
        </w:rPr>
        <w:t xml:space="preserve"> </w:t>
      </w:r>
      <w:r w:rsidR="00745199">
        <w:rPr>
          <w:rFonts w:ascii="Calibri" w:eastAsia="Times New Roman" w:hAnsi="Calibri" w:cs="Calibri"/>
          <w:color w:val="000000"/>
        </w:rPr>
        <w:t xml:space="preserve">ble </w:t>
      </w:r>
      <w:r w:rsidR="00BC02E8" w:rsidRPr="004F0F25">
        <w:rPr>
          <w:rFonts w:ascii="Calibri" w:eastAsia="Times New Roman" w:hAnsi="Calibri" w:cs="Calibri"/>
          <w:color w:val="000000"/>
        </w:rPr>
        <w:t>avl</w:t>
      </w:r>
      <w:r w:rsidR="00745199">
        <w:rPr>
          <w:rFonts w:ascii="Calibri" w:eastAsia="Times New Roman" w:hAnsi="Calibri" w:cs="Calibri"/>
          <w:color w:val="000000"/>
        </w:rPr>
        <w:t xml:space="preserve">agt av </w:t>
      </w:r>
      <w:r w:rsidR="00BC02E8" w:rsidRPr="004F0F25">
        <w:rPr>
          <w:rFonts w:ascii="Calibri" w:eastAsia="Times New Roman" w:hAnsi="Calibri" w:cs="Calibri"/>
          <w:color w:val="000000"/>
        </w:rPr>
        <w:t>kvinner</w:t>
      </w:r>
      <w:r w:rsidR="00BC02E8">
        <w:rPr>
          <w:rStyle w:val="Fotnotereferanse"/>
          <w:rFonts w:ascii="Calibri" w:eastAsia="Times New Roman" w:hAnsi="Calibri" w:cs="Calibri"/>
          <w:color w:val="000000"/>
        </w:rPr>
        <w:footnoteReference w:id="5"/>
      </w:r>
      <w:r w:rsidR="00BC02E8">
        <w:rPr>
          <w:rFonts w:ascii="Calibri" w:eastAsia="Times New Roman" w:hAnsi="Calibri" w:cs="Calibri"/>
          <w:color w:val="000000"/>
        </w:rPr>
        <w:t>. I 2019 ble om lag en fjerdedel av doktorandene som arbeider i Norge helt eller delvis finansiert av prosjektmidler fra Forskningsrådet</w:t>
      </w:r>
      <w:r w:rsidR="00BC02E8">
        <w:rPr>
          <w:rStyle w:val="Fotnotereferanse"/>
          <w:rFonts w:ascii="Calibri" w:eastAsia="Times New Roman" w:hAnsi="Calibri" w:cs="Calibri"/>
          <w:color w:val="000000"/>
        </w:rPr>
        <w:footnoteReference w:id="6"/>
      </w:r>
      <w:r w:rsidR="00BC02E8">
        <w:rPr>
          <w:rFonts w:ascii="Calibri" w:eastAsia="Times New Roman" w:hAnsi="Calibri" w:cs="Calibri"/>
          <w:color w:val="000000"/>
        </w:rPr>
        <w:t>.</w:t>
      </w:r>
      <w:r w:rsidR="00B756E8">
        <w:rPr>
          <w:rFonts w:ascii="Calibri" w:eastAsia="Times New Roman" w:hAnsi="Calibri" w:cs="Calibri"/>
          <w:color w:val="000000"/>
        </w:rPr>
        <w:t xml:space="preserve"> </w:t>
      </w:r>
    </w:p>
    <w:p w14:paraId="7B4693C1" w14:textId="77777777" w:rsidR="00AA754B" w:rsidRDefault="00AA754B" w:rsidP="00D63C85">
      <w:pPr>
        <w:spacing w:after="0" w:line="240" w:lineRule="auto"/>
        <w:textAlignment w:val="baseline"/>
        <w:rPr>
          <w:rFonts w:ascii="Calibri" w:eastAsia="Times New Roman" w:hAnsi="Calibri" w:cs="Calibri"/>
          <w:color w:val="000000"/>
        </w:rPr>
      </w:pPr>
    </w:p>
    <w:p w14:paraId="4FEDE448" w14:textId="3E19B90D" w:rsidR="000647E3" w:rsidRPr="004F5CCD" w:rsidRDefault="00AA754B" w:rsidP="00D63C8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Nasjonalt har antallet postdoktorer økt kraftig de siste 20 årene, fra et lavt nivå på 313 </w:t>
      </w:r>
      <w:r w:rsidR="00745199">
        <w:rPr>
          <w:rFonts w:ascii="Calibri" w:eastAsia="Times New Roman" w:hAnsi="Calibri" w:cs="Calibri"/>
          <w:color w:val="000000"/>
        </w:rPr>
        <w:t xml:space="preserve">postdoktorer i 1999 til 2162 </w:t>
      </w:r>
      <w:r w:rsidR="009320F3">
        <w:rPr>
          <w:rFonts w:ascii="Calibri" w:eastAsia="Times New Roman" w:hAnsi="Calibri" w:cs="Calibri"/>
          <w:color w:val="000000"/>
        </w:rPr>
        <w:t>postdoktorer</w:t>
      </w:r>
      <w:r w:rsidR="00745199">
        <w:rPr>
          <w:rFonts w:ascii="Calibri" w:eastAsia="Times New Roman" w:hAnsi="Calibri" w:cs="Calibri"/>
          <w:color w:val="000000"/>
        </w:rPr>
        <w:t xml:space="preserve"> i 2019. Den </w:t>
      </w:r>
      <w:r w:rsidR="009320F3">
        <w:rPr>
          <w:rFonts w:ascii="Calibri" w:eastAsia="Times New Roman" w:hAnsi="Calibri" w:cs="Calibri"/>
          <w:color w:val="000000"/>
        </w:rPr>
        <w:t>internasjonale</w:t>
      </w:r>
      <w:r w:rsidR="00745199">
        <w:rPr>
          <w:rFonts w:ascii="Calibri" w:eastAsia="Times New Roman" w:hAnsi="Calibri" w:cs="Calibri"/>
          <w:color w:val="000000"/>
        </w:rPr>
        <w:t xml:space="preserve"> rekrutteringen til denne stillingskategorien har økt. Andelen av postdoktorer som har doktorgraden sin fra et annet land enn Norge økte fra en fjerde</w:t>
      </w:r>
      <w:r w:rsidR="009320F3">
        <w:rPr>
          <w:rFonts w:ascii="Calibri" w:eastAsia="Times New Roman" w:hAnsi="Calibri" w:cs="Calibri"/>
          <w:color w:val="000000"/>
        </w:rPr>
        <w:t>de</w:t>
      </w:r>
      <w:r w:rsidR="00745199">
        <w:rPr>
          <w:rFonts w:ascii="Calibri" w:eastAsia="Times New Roman" w:hAnsi="Calibri" w:cs="Calibri"/>
          <w:color w:val="000000"/>
        </w:rPr>
        <w:t>l i 2001 til halvparten i 2019</w:t>
      </w:r>
      <w:r w:rsidR="00745199">
        <w:rPr>
          <w:rStyle w:val="Fotnotereferanse"/>
          <w:rFonts w:ascii="Calibri" w:eastAsia="Times New Roman" w:hAnsi="Calibri" w:cs="Calibri"/>
          <w:color w:val="000000"/>
        </w:rPr>
        <w:footnoteReference w:id="7"/>
      </w:r>
      <w:r w:rsidR="00745199">
        <w:rPr>
          <w:rFonts w:ascii="Calibri" w:eastAsia="Times New Roman" w:hAnsi="Calibri" w:cs="Calibri"/>
          <w:color w:val="000000"/>
        </w:rPr>
        <w:t xml:space="preserve">. </w:t>
      </w:r>
    </w:p>
    <w:p w14:paraId="766A4889" w14:textId="77777777" w:rsidR="000647E3" w:rsidRDefault="000647E3" w:rsidP="00D63C85">
      <w:pPr>
        <w:spacing w:after="0" w:line="240" w:lineRule="auto"/>
        <w:textAlignment w:val="baseline"/>
        <w:rPr>
          <w:rFonts w:ascii="Calibri" w:eastAsia="Times New Roman" w:hAnsi="Calibri" w:cs="Calibri"/>
          <w:i/>
          <w:iCs/>
          <w:color w:val="000000"/>
        </w:rPr>
      </w:pPr>
    </w:p>
    <w:p w14:paraId="7EB6B906" w14:textId="745B8781" w:rsidR="00122263" w:rsidRPr="0021278F" w:rsidRDefault="006F37BC" w:rsidP="00D63C85">
      <w:pPr>
        <w:spacing w:after="0" w:line="240" w:lineRule="auto"/>
        <w:textAlignment w:val="baseline"/>
        <w:rPr>
          <w:rFonts w:ascii="Calibri" w:eastAsia="Times New Roman" w:hAnsi="Calibri" w:cs="Calibri"/>
          <w:i/>
          <w:iCs/>
          <w:color w:val="000000"/>
        </w:rPr>
      </w:pPr>
      <w:r w:rsidRPr="0021278F">
        <w:rPr>
          <w:rFonts w:ascii="Calibri" w:eastAsia="Times New Roman" w:hAnsi="Calibri" w:cs="Calibri"/>
          <w:i/>
          <w:iCs/>
          <w:color w:val="000000"/>
        </w:rPr>
        <w:t>Utviklingen</w:t>
      </w:r>
      <w:r w:rsidR="006B542E" w:rsidRPr="0021278F">
        <w:rPr>
          <w:rFonts w:ascii="Calibri" w:eastAsia="Times New Roman" w:hAnsi="Calibri" w:cs="Calibri"/>
          <w:i/>
          <w:iCs/>
          <w:color w:val="000000"/>
        </w:rPr>
        <w:t xml:space="preserve"> </w:t>
      </w:r>
      <w:r w:rsidRPr="0021278F">
        <w:rPr>
          <w:rFonts w:ascii="Calibri" w:eastAsia="Times New Roman" w:hAnsi="Calibri" w:cs="Calibri"/>
          <w:i/>
          <w:iCs/>
          <w:color w:val="000000"/>
        </w:rPr>
        <w:t xml:space="preserve">i </w:t>
      </w:r>
      <w:r w:rsidR="00CF0CF2" w:rsidRPr="0021278F">
        <w:rPr>
          <w:rFonts w:ascii="Calibri" w:eastAsia="Times New Roman" w:hAnsi="Calibri" w:cs="Calibri"/>
          <w:i/>
          <w:iCs/>
          <w:color w:val="000000"/>
        </w:rPr>
        <w:t>stipendiat</w:t>
      </w:r>
      <w:r w:rsidR="000A6FB5" w:rsidRPr="0021278F">
        <w:rPr>
          <w:rFonts w:ascii="Calibri" w:eastAsia="Times New Roman" w:hAnsi="Calibri" w:cs="Calibri"/>
          <w:i/>
          <w:iCs/>
          <w:color w:val="000000"/>
        </w:rPr>
        <w:t>år</w:t>
      </w:r>
      <w:r w:rsidR="00CD4E5E" w:rsidRPr="0021278F">
        <w:rPr>
          <w:rFonts w:ascii="Calibri" w:eastAsia="Times New Roman" w:hAnsi="Calibri" w:cs="Calibri"/>
          <w:i/>
          <w:iCs/>
          <w:color w:val="000000"/>
        </w:rPr>
        <w:t>s</w:t>
      </w:r>
      <w:r w:rsidR="000A6FB5" w:rsidRPr="0021278F">
        <w:rPr>
          <w:rFonts w:ascii="Calibri" w:eastAsia="Times New Roman" w:hAnsi="Calibri" w:cs="Calibri"/>
          <w:i/>
          <w:iCs/>
          <w:color w:val="000000"/>
        </w:rPr>
        <w:t>verk</w:t>
      </w:r>
      <w:r w:rsidR="0056444A" w:rsidRPr="0021278F">
        <w:rPr>
          <w:rFonts w:ascii="Calibri" w:eastAsia="Times New Roman" w:hAnsi="Calibri" w:cs="Calibri"/>
          <w:i/>
          <w:iCs/>
          <w:color w:val="000000"/>
        </w:rPr>
        <w:t xml:space="preserve"> finansiert av Forskningsrådet</w:t>
      </w:r>
    </w:p>
    <w:p w14:paraId="5EA5F2C4" w14:textId="77777777" w:rsidR="0056444A" w:rsidRPr="0056444A" w:rsidRDefault="0056444A" w:rsidP="00D63C85">
      <w:pPr>
        <w:spacing w:after="0" w:line="240" w:lineRule="auto"/>
        <w:textAlignment w:val="baseline"/>
        <w:rPr>
          <w:rFonts w:ascii="Calibri" w:eastAsia="Times New Roman" w:hAnsi="Calibri" w:cs="Calibri"/>
          <w:i/>
          <w:iCs/>
          <w:color w:val="000000"/>
        </w:rPr>
      </w:pPr>
    </w:p>
    <w:p w14:paraId="55518F05" w14:textId="74AC0EBD" w:rsidR="006747C4" w:rsidRDefault="00D63C85" w:rsidP="00477AE3">
      <w:pPr>
        <w:spacing w:after="0" w:line="240" w:lineRule="auto"/>
        <w:textAlignment w:val="baseline"/>
        <w:rPr>
          <w:rStyle w:val="normaltextrun"/>
          <w:rFonts w:ascii="Calibri" w:hAnsi="Calibri" w:cs="Calibri"/>
          <w:color w:val="000000"/>
          <w:sz w:val="18"/>
          <w:szCs w:val="18"/>
          <w:bdr w:val="none" w:sz="0" w:space="0" w:color="auto" w:frame="1"/>
        </w:rPr>
      </w:pPr>
      <w:r w:rsidRPr="0056444A">
        <w:rPr>
          <w:rFonts w:ascii="Calibri" w:eastAsia="Times New Roman" w:hAnsi="Calibri" w:cs="Calibri"/>
          <w:color w:val="000000" w:themeColor="accent6"/>
          <w:sz w:val="18"/>
          <w:szCs w:val="18"/>
        </w:rPr>
        <w:t xml:space="preserve">Figur </w:t>
      </w:r>
      <w:r w:rsidR="004F5CCD">
        <w:rPr>
          <w:rFonts w:ascii="Calibri" w:eastAsia="Times New Roman" w:hAnsi="Calibri" w:cs="Calibri"/>
          <w:color w:val="000000" w:themeColor="accent6"/>
          <w:sz w:val="18"/>
          <w:szCs w:val="18"/>
        </w:rPr>
        <w:t>3</w:t>
      </w:r>
      <w:r w:rsidR="0056444A">
        <w:rPr>
          <w:rFonts w:ascii="Calibri" w:eastAsia="Times New Roman" w:hAnsi="Calibri" w:cs="Calibri"/>
          <w:color w:val="000000" w:themeColor="accent6"/>
          <w:sz w:val="18"/>
          <w:szCs w:val="18"/>
        </w:rPr>
        <w:t>.1</w:t>
      </w:r>
      <w:r w:rsidR="009F4B62">
        <w:rPr>
          <w:rFonts w:ascii="Calibri" w:eastAsia="Times New Roman" w:hAnsi="Calibri" w:cs="Calibri"/>
          <w:color w:val="000000" w:themeColor="accent6"/>
          <w:sz w:val="18"/>
          <w:szCs w:val="18"/>
        </w:rPr>
        <w:t xml:space="preserve"> </w:t>
      </w:r>
      <w:r w:rsidR="0056444A" w:rsidRPr="0056444A">
        <w:rPr>
          <w:rStyle w:val="normaltextrun"/>
          <w:rFonts w:ascii="Calibri" w:hAnsi="Calibri" w:cs="Calibri"/>
          <w:color w:val="000000"/>
          <w:sz w:val="18"/>
          <w:szCs w:val="18"/>
          <w:bdr w:val="none" w:sz="0" w:space="0" w:color="auto" w:frame="1"/>
        </w:rPr>
        <w:t xml:space="preserve">Doktorgradsårsverk fordelt på </w:t>
      </w:r>
      <w:r w:rsidR="0056444A">
        <w:rPr>
          <w:rStyle w:val="normaltextrun"/>
          <w:rFonts w:ascii="Calibri" w:hAnsi="Calibri" w:cs="Calibri"/>
          <w:color w:val="000000"/>
          <w:sz w:val="18"/>
          <w:szCs w:val="18"/>
          <w:bdr w:val="none" w:sz="0" w:space="0" w:color="auto" w:frame="1"/>
        </w:rPr>
        <w:t xml:space="preserve">fagområder </w:t>
      </w:r>
      <w:r w:rsidR="0056444A" w:rsidRPr="0056444A">
        <w:rPr>
          <w:rStyle w:val="normaltextrun"/>
          <w:rFonts w:ascii="Calibri" w:hAnsi="Calibri" w:cs="Calibri"/>
          <w:color w:val="000000"/>
          <w:sz w:val="18"/>
          <w:szCs w:val="18"/>
          <w:bdr w:val="none" w:sz="0" w:space="0" w:color="auto" w:frame="1"/>
        </w:rPr>
        <w:t>i perioden 2012-2021</w:t>
      </w:r>
      <w:r w:rsidR="00CD4E5E">
        <w:rPr>
          <w:rStyle w:val="normaltextrun"/>
          <w:rFonts w:ascii="Calibri" w:hAnsi="Calibri" w:cs="Calibri"/>
          <w:color w:val="000000"/>
          <w:sz w:val="18"/>
          <w:szCs w:val="18"/>
          <w:bdr w:val="none" w:sz="0" w:space="0" w:color="auto" w:frame="1"/>
        </w:rPr>
        <w:t>.</w:t>
      </w:r>
      <w:bookmarkStart w:id="3" w:name="_Hlk103159738"/>
    </w:p>
    <w:p w14:paraId="0E3BFBE1" w14:textId="4D87C621" w:rsidR="00477AE3" w:rsidRDefault="00477AE3" w:rsidP="00477AE3">
      <w:pPr>
        <w:spacing w:after="0" w:line="240" w:lineRule="auto"/>
        <w:textAlignment w:val="baseline"/>
        <w:rPr>
          <w:rStyle w:val="normaltextrun"/>
          <w:rFonts w:ascii="Calibri" w:hAnsi="Calibri" w:cs="Calibri"/>
          <w:color w:val="000000"/>
          <w:sz w:val="18"/>
          <w:szCs w:val="18"/>
          <w:bdr w:val="none" w:sz="0" w:space="0" w:color="auto" w:frame="1"/>
        </w:rPr>
      </w:pPr>
      <w:r>
        <w:rPr>
          <w:noProof/>
        </w:rPr>
        <w:drawing>
          <wp:inline distT="0" distB="0" distL="0" distR="0" wp14:anchorId="6CC8B122" wp14:editId="751368F7">
            <wp:extent cx="5699760" cy="2125835"/>
            <wp:effectExtent l="0" t="0" r="15240" b="8255"/>
            <wp:docPr id="20" name="Diagram 20">
              <a:extLst xmlns:a="http://schemas.openxmlformats.org/drawingml/2006/main">
                <a:ext uri="{FF2B5EF4-FFF2-40B4-BE49-F238E27FC236}">
                  <a16:creationId xmlns:a16="http://schemas.microsoft.com/office/drawing/2014/main" id="{895C3FCA-C30D-450A-8F95-8874F36DD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5F6FD4" w14:textId="04AEC172" w:rsidR="00477AE3" w:rsidRDefault="00477AE3" w:rsidP="00477AE3">
      <w:pPr>
        <w:spacing w:after="0" w:line="240" w:lineRule="auto"/>
        <w:textAlignment w:val="baseline"/>
        <w:rPr>
          <w:rStyle w:val="normaltextrun"/>
          <w:rFonts w:ascii="Calibri" w:hAnsi="Calibri" w:cs="Calibri"/>
          <w:color w:val="000000"/>
          <w:sz w:val="18"/>
          <w:szCs w:val="18"/>
          <w:bdr w:val="none" w:sz="0" w:space="0" w:color="auto" w:frame="1"/>
        </w:rPr>
      </w:pPr>
      <w:r>
        <w:rPr>
          <w:rStyle w:val="normaltextrun"/>
          <w:rFonts w:ascii="Calibri" w:hAnsi="Calibri" w:cs="Calibri"/>
          <w:color w:val="000000"/>
          <w:sz w:val="18"/>
          <w:szCs w:val="18"/>
          <w:bdr w:val="none" w:sz="0" w:space="0" w:color="auto" w:frame="1"/>
        </w:rPr>
        <w:t>Kilde: Forskningsrådet</w:t>
      </w:r>
      <w:r w:rsidR="00BC2915">
        <w:rPr>
          <w:rStyle w:val="normaltextrun"/>
          <w:rFonts w:ascii="Calibri" w:hAnsi="Calibri" w:cs="Calibri"/>
          <w:color w:val="000000"/>
          <w:sz w:val="18"/>
          <w:szCs w:val="18"/>
          <w:bdr w:val="none" w:sz="0" w:space="0" w:color="auto" w:frame="1"/>
        </w:rPr>
        <w:t>.</w:t>
      </w:r>
    </w:p>
    <w:p w14:paraId="3F3FF3AD" w14:textId="77777777" w:rsidR="00A47159" w:rsidRDefault="00A47159" w:rsidP="00477AE3">
      <w:pPr>
        <w:spacing w:after="0" w:line="240" w:lineRule="auto"/>
        <w:textAlignment w:val="baseline"/>
        <w:rPr>
          <w:rStyle w:val="normaltextrun"/>
          <w:rFonts w:ascii="Calibri" w:hAnsi="Calibri" w:cs="Calibri"/>
          <w:color w:val="000000"/>
          <w:sz w:val="18"/>
          <w:szCs w:val="18"/>
          <w:bdr w:val="none" w:sz="0" w:space="0" w:color="auto" w:frame="1"/>
        </w:rPr>
      </w:pPr>
    </w:p>
    <w:p w14:paraId="22488FA4" w14:textId="2C8DB1B2" w:rsidR="00477AE3" w:rsidRDefault="000840BA" w:rsidP="00D63C85">
      <w:pPr>
        <w:spacing w:after="0" w:line="240" w:lineRule="auto"/>
        <w:textAlignment w:val="baseline"/>
        <w:rPr>
          <w:rFonts w:ascii="Calibri" w:eastAsia="Times New Roman" w:hAnsi="Calibri" w:cs="Calibri"/>
          <w:color w:val="000000"/>
        </w:rPr>
      </w:pPr>
      <w:r w:rsidRPr="0056444A">
        <w:rPr>
          <w:rFonts w:ascii="Calibri" w:eastAsia="Times New Roman" w:hAnsi="Calibri" w:cs="Calibri"/>
          <w:color w:val="000000" w:themeColor="accent6"/>
          <w:sz w:val="18"/>
          <w:szCs w:val="18"/>
        </w:rPr>
        <w:lastRenderedPageBreak/>
        <w:t xml:space="preserve">Figur </w:t>
      </w:r>
      <w:r w:rsidR="004F5CCD">
        <w:rPr>
          <w:rFonts w:ascii="Calibri" w:eastAsia="Times New Roman" w:hAnsi="Calibri" w:cs="Calibri"/>
          <w:color w:val="000000" w:themeColor="accent6"/>
          <w:sz w:val="18"/>
          <w:szCs w:val="18"/>
        </w:rPr>
        <w:t>3</w:t>
      </w:r>
      <w:r>
        <w:rPr>
          <w:rFonts w:ascii="Calibri" w:eastAsia="Times New Roman" w:hAnsi="Calibri" w:cs="Calibri"/>
          <w:color w:val="000000" w:themeColor="accent6"/>
          <w:sz w:val="18"/>
          <w:szCs w:val="18"/>
        </w:rPr>
        <w:t xml:space="preserve">.2 </w:t>
      </w:r>
      <w:r w:rsidRPr="0056444A">
        <w:rPr>
          <w:rStyle w:val="normaltextrun"/>
          <w:rFonts w:ascii="Calibri" w:hAnsi="Calibri" w:cs="Calibri"/>
          <w:color w:val="000000"/>
          <w:sz w:val="18"/>
          <w:szCs w:val="18"/>
          <w:bdr w:val="none" w:sz="0" w:space="0" w:color="auto" w:frame="1"/>
        </w:rPr>
        <w:t>Doktorgradsårsverk fordelt på</w:t>
      </w:r>
      <w:r>
        <w:rPr>
          <w:rStyle w:val="normaltextrun"/>
          <w:rFonts w:ascii="Calibri" w:hAnsi="Calibri" w:cs="Calibri"/>
          <w:color w:val="000000"/>
          <w:sz w:val="18"/>
          <w:szCs w:val="18"/>
          <w:bdr w:val="none" w:sz="0" w:space="0" w:color="auto" w:frame="1"/>
        </w:rPr>
        <w:t xml:space="preserve"> hovedaktivitet i perioden 2012-2021</w:t>
      </w:r>
      <w:r w:rsidR="009F4B62">
        <w:rPr>
          <w:rFonts w:ascii="Calibri" w:eastAsia="Times New Roman" w:hAnsi="Calibri" w:cs="Calibri"/>
          <w:color w:val="000000"/>
        </w:rPr>
        <w:t>.</w:t>
      </w:r>
      <w:bookmarkEnd w:id="3"/>
    </w:p>
    <w:p w14:paraId="4FE68DF3" w14:textId="6952D11A" w:rsidR="00477AE3" w:rsidRDefault="00477AE3" w:rsidP="00D63C85">
      <w:pPr>
        <w:spacing w:after="0" w:line="240" w:lineRule="auto"/>
        <w:textAlignment w:val="baseline"/>
        <w:rPr>
          <w:rFonts w:ascii="Calibri" w:eastAsia="Times New Roman" w:hAnsi="Calibri" w:cs="Calibri"/>
          <w:noProof/>
          <w:color w:val="000000" w:themeColor="accent6"/>
          <w:sz w:val="18"/>
          <w:szCs w:val="18"/>
        </w:rPr>
      </w:pPr>
      <w:r>
        <w:rPr>
          <w:noProof/>
        </w:rPr>
        <w:drawing>
          <wp:inline distT="0" distB="0" distL="0" distR="0" wp14:anchorId="292CB8CD" wp14:editId="2F1E03E2">
            <wp:extent cx="5759450" cy="2417044"/>
            <wp:effectExtent l="0" t="0" r="12700" b="2540"/>
            <wp:docPr id="23" name="Diagram 23">
              <a:extLst xmlns:a="http://schemas.openxmlformats.org/drawingml/2006/main">
                <a:ext uri="{FF2B5EF4-FFF2-40B4-BE49-F238E27FC236}">
                  <a16:creationId xmlns:a16="http://schemas.microsoft.com/office/drawing/2014/main" id="{9F19C0E0-24CF-4DF6-BA17-4F2B07114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7DBC38" w14:textId="2E70F7E6" w:rsidR="000840BA" w:rsidRDefault="000A6FB5">
      <w:pPr>
        <w:spacing w:after="0" w:line="240" w:lineRule="auto"/>
        <w:textAlignment w:val="baseline"/>
        <w:rPr>
          <w:rFonts w:ascii="Calibri" w:eastAsia="Times New Roman" w:hAnsi="Calibri" w:cs="Calibri"/>
          <w:color w:val="000000"/>
        </w:rPr>
      </w:pPr>
      <w:r w:rsidRPr="0090180D">
        <w:rPr>
          <w:rFonts w:ascii="Calibri" w:eastAsia="Times New Roman" w:hAnsi="Calibri" w:cs="Calibri"/>
          <w:color w:val="000000"/>
          <w:sz w:val="18"/>
          <w:szCs w:val="18"/>
        </w:rPr>
        <w:t xml:space="preserve">Kilde: </w:t>
      </w:r>
      <w:r w:rsidRPr="000A6FB5">
        <w:rPr>
          <w:rFonts w:ascii="Calibri" w:eastAsia="Times New Roman" w:hAnsi="Calibri" w:cs="Calibri"/>
          <w:color w:val="000000"/>
          <w:sz w:val="18"/>
          <w:szCs w:val="18"/>
        </w:rPr>
        <w:t>Forskningsrådet</w:t>
      </w:r>
      <w:r w:rsidR="002505AB">
        <w:rPr>
          <w:rFonts w:ascii="Calibri" w:eastAsia="Times New Roman" w:hAnsi="Calibri" w:cs="Calibri"/>
          <w:color w:val="000000"/>
          <w:sz w:val="18"/>
          <w:szCs w:val="18"/>
        </w:rPr>
        <w:t>.</w:t>
      </w:r>
      <w:r>
        <w:rPr>
          <w:rFonts w:ascii="Calibri" w:eastAsia="Times New Roman" w:hAnsi="Calibri" w:cs="Calibri"/>
          <w:color w:val="000000"/>
        </w:rPr>
        <w:tab/>
      </w:r>
    </w:p>
    <w:p w14:paraId="0B0120C8" w14:textId="2D87BC5C" w:rsidR="000840BA" w:rsidRDefault="000840BA">
      <w:pPr>
        <w:spacing w:after="0" w:line="240" w:lineRule="auto"/>
        <w:textAlignment w:val="baseline"/>
        <w:rPr>
          <w:rFonts w:ascii="Calibri" w:eastAsia="Times New Roman" w:hAnsi="Calibri" w:cs="Calibri"/>
          <w:color w:val="000000"/>
        </w:rPr>
      </w:pPr>
    </w:p>
    <w:p w14:paraId="155F6005" w14:textId="77777777" w:rsidR="00BB54AD" w:rsidRDefault="00BB54AD" w:rsidP="00BC2915">
      <w:pPr>
        <w:spacing w:after="0" w:line="240" w:lineRule="auto"/>
        <w:textAlignment w:val="baseline"/>
        <w:rPr>
          <w:rFonts w:ascii="Calibri" w:eastAsia="Times New Roman" w:hAnsi="Calibri" w:cs="Calibri"/>
          <w:color w:val="000000" w:themeColor="accent6"/>
          <w:sz w:val="18"/>
          <w:szCs w:val="18"/>
        </w:rPr>
      </w:pPr>
    </w:p>
    <w:p w14:paraId="3FCC51E2" w14:textId="1AADB758" w:rsidR="00BC2915" w:rsidRDefault="000840BA" w:rsidP="00BC2915">
      <w:pPr>
        <w:spacing w:after="0" w:line="240" w:lineRule="auto"/>
        <w:textAlignment w:val="baseline"/>
        <w:rPr>
          <w:rFonts w:ascii="Calibri" w:eastAsia="Times New Roman" w:hAnsi="Calibri" w:cs="Calibri"/>
          <w:color w:val="000000" w:themeColor="accent6"/>
          <w:sz w:val="18"/>
          <w:szCs w:val="18"/>
        </w:rPr>
      </w:pPr>
      <w:r w:rsidRPr="0056444A">
        <w:rPr>
          <w:rFonts w:ascii="Calibri" w:eastAsia="Times New Roman" w:hAnsi="Calibri" w:cs="Calibri"/>
          <w:color w:val="000000" w:themeColor="accent6"/>
          <w:sz w:val="18"/>
          <w:szCs w:val="18"/>
        </w:rPr>
        <w:t xml:space="preserve">Figur </w:t>
      </w:r>
      <w:r w:rsidR="004F5CCD">
        <w:rPr>
          <w:rFonts w:ascii="Calibri" w:eastAsia="Times New Roman" w:hAnsi="Calibri" w:cs="Calibri"/>
          <w:color w:val="000000" w:themeColor="accent6"/>
          <w:sz w:val="18"/>
          <w:szCs w:val="18"/>
        </w:rPr>
        <w:t>3</w:t>
      </w:r>
      <w:r>
        <w:rPr>
          <w:rFonts w:ascii="Calibri" w:eastAsia="Times New Roman" w:hAnsi="Calibri" w:cs="Calibri"/>
          <w:color w:val="000000" w:themeColor="accent6"/>
          <w:sz w:val="18"/>
          <w:szCs w:val="18"/>
        </w:rPr>
        <w:t>.</w:t>
      </w:r>
      <w:r w:rsidR="00BB54AD">
        <w:rPr>
          <w:rFonts w:ascii="Calibri" w:eastAsia="Times New Roman" w:hAnsi="Calibri" w:cs="Calibri"/>
          <w:color w:val="000000" w:themeColor="accent6"/>
          <w:sz w:val="18"/>
          <w:szCs w:val="18"/>
        </w:rPr>
        <w:t>3</w:t>
      </w:r>
      <w:r>
        <w:rPr>
          <w:rFonts w:ascii="Calibri" w:eastAsia="Times New Roman" w:hAnsi="Calibri" w:cs="Calibri"/>
          <w:color w:val="000000" w:themeColor="accent6"/>
          <w:sz w:val="18"/>
          <w:szCs w:val="18"/>
        </w:rPr>
        <w:t xml:space="preserve"> </w:t>
      </w:r>
      <w:r w:rsidRPr="00A46EB2">
        <w:rPr>
          <w:rFonts w:ascii="Calibri" w:eastAsia="Times New Roman" w:hAnsi="Calibri" w:cs="Calibri"/>
          <w:color w:val="000000" w:themeColor="accent6"/>
          <w:sz w:val="18"/>
          <w:szCs w:val="18"/>
        </w:rPr>
        <w:t>Doktorgradsårsverk fordelt på sektor i perioden 2012-2021</w:t>
      </w:r>
      <w:r w:rsidR="009F4B62">
        <w:rPr>
          <w:rFonts w:ascii="Calibri" w:eastAsia="Times New Roman" w:hAnsi="Calibri" w:cs="Calibri"/>
          <w:color w:val="000000" w:themeColor="accent6"/>
          <w:sz w:val="18"/>
          <w:szCs w:val="18"/>
        </w:rPr>
        <w:t>.</w:t>
      </w:r>
    </w:p>
    <w:p w14:paraId="4962B135" w14:textId="5CD51518" w:rsidR="000840BA" w:rsidRDefault="00BC2915" w:rsidP="00BC2915">
      <w:pPr>
        <w:spacing w:after="0" w:line="240" w:lineRule="auto"/>
        <w:textAlignment w:val="baseline"/>
        <w:rPr>
          <w:rFonts w:ascii="Calibri" w:eastAsia="Times New Roman" w:hAnsi="Calibri" w:cs="Calibri"/>
          <w:color w:val="000000" w:themeColor="accent6"/>
          <w:sz w:val="18"/>
          <w:szCs w:val="18"/>
        </w:rPr>
      </w:pPr>
      <w:r>
        <w:rPr>
          <w:noProof/>
        </w:rPr>
        <w:drawing>
          <wp:inline distT="0" distB="0" distL="0" distR="0" wp14:anchorId="2441F795" wp14:editId="57721297">
            <wp:extent cx="5759450" cy="2249954"/>
            <wp:effectExtent l="0" t="0" r="12700" b="17145"/>
            <wp:docPr id="24" name="Diagram 24">
              <a:extLst xmlns:a="http://schemas.openxmlformats.org/drawingml/2006/main">
                <a:ext uri="{FF2B5EF4-FFF2-40B4-BE49-F238E27FC236}">
                  <a16:creationId xmlns:a16="http://schemas.microsoft.com/office/drawing/2014/main" id="{378DF0DE-5A90-451A-A59D-95F920E7D7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Calibri" w:eastAsia="Times New Roman" w:hAnsi="Calibri" w:cs="Calibri"/>
          <w:color w:val="000000" w:themeColor="accent6"/>
          <w:sz w:val="18"/>
          <w:szCs w:val="18"/>
        </w:rPr>
        <w:t>Kilde: Forskningsrådet.</w:t>
      </w:r>
    </w:p>
    <w:p w14:paraId="13C18D2F" w14:textId="035205CA" w:rsidR="000840BA" w:rsidRDefault="000840BA" w:rsidP="000840BA">
      <w:pPr>
        <w:spacing w:after="0" w:line="240" w:lineRule="auto"/>
        <w:textAlignment w:val="baseline"/>
        <w:rPr>
          <w:rFonts w:ascii="Calibri" w:eastAsia="Times New Roman" w:hAnsi="Calibri" w:cs="Calibri"/>
          <w:color w:val="000000" w:themeColor="accent6"/>
          <w:sz w:val="18"/>
          <w:szCs w:val="18"/>
        </w:rPr>
      </w:pPr>
    </w:p>
    <w:p w14:paraId="0CF7D4DC" w14:textId="77777777" w:rsidR="00BB54AD" w:rsidRDefault="00BB54AD" w:rsidP="00BC2915">
      <w:pPr>
        <w:spacing w:after="0" w:line="240" w:lineRule="auto"/>
        <w:textAlignment w:val="baseline"/>
        <w:rPr>
          <w:rFonts w:ascii="Calibri" w:eastAsia="Times New Roman" w:hAnsi="Calibri" w:cs="Calibri"/>
          <w:color w:val="000000"/>
          <w:sz w:val="24"/>
          <w:szCs w:val="24"/>
        </w:rPr>
      </w:pPr>
    </w:p>
    <w:p w14:paraId="1F9A6509" w14:textId="53520788" w:rsidR="00BC2915" w:rsidRDefault="4C77749A" w:rsidP="00BC2915">
      <w:pPr>
        <w:spacing w:after="0" w:line="240" w:lineRule="auto"/>
        <w:textAlignment w:val="baseline"/>
        <w:rPr>
          <w:rFonts w:ascii="Calibri" w:eastAsia="Times New Roman" w:hAnsi="Calibri" w:cs="Calibri"/>
          <w:color w:val="000000" w:themeColor="accent6"/>
          <w:sz w:val="18"/>
          <w:szCs w:val="18"/>
        </w:rPr>
      </w:pPr>
      <w:r w:rsidRPr="000A6FB5">
        <w:rPr>
          <w:rFonts w:ascii="Calibri" w:eastAsia="Times New Roman" w:hAnsi="Calibri" w:cs="Calibri"/>
          <w:color w:val="000000"/>
          <w:sz w:val="24"/>
          <w:szCs w:val="24"/>
        </w:rPr>
        <w:t> </w:t>
      </w:r>
      <w:r w:rsidR="1E12BBB6">
        <w:rPr>
          <w:rFonts w:ascii="Calibri" w:eastAsia="Times New Roman" w:hAnsi="Calibri" w:cs="Calibri"/>
          <w:color w:val="000000" w:themeColor="accent6"/>
          <w:sz w:val="18"/>
          <w:szCs w:val="18"/>
        </w:rPr>
        <w:t xml:space="preserve">Figur </w:t>
      </w:r>
      <w:r w:rsidR="004F5CCD">
        <w:rPr>
          <w:rFonts w:ascii="Calibri" w:eastAsia="Times New Roman" w:hAnsi="Calibri" w:cs="Calibri"/>
          <w:color w:val="000000" w:themeColor="accent6"/>
          <w:sz w:val="18"/>
          <w:szCs w:val="18"/>
        </w:rPr>
        <w:t>3</w:t>
      </w:r>
      <w:r w:rsidR="1E12BBB6">
        <w:rPr>
          <w:rFonts w:ascii="Calibri" w:eastAsia="Times New Roman" w:hAnsi="Calibri" w:cs="Calibri"/>
          <w:color w:val="000000" w:themeColor="accent6"/>
          <w:sz w:val="18"/>
          <w:szCs w:val="18"/>
        </w:rPr>
        <w:t>.</w:t>
      </w:r>
      <w:r w:rsidR="00BB54AD">
        <w:rPr>
          <w:rFonts w:ascii="Calibri" w:eastAsia="Times New Roman" w:hAnsi="Calibri" w:cs="Calibri"/>
          <w:color w:val="000000" w:themeColor="accent6"/>
          <w:sz w:val="18"/>
          <w:szCs w:val="18"/>
        </w:rPr>
        <w:t>4</w:t>
      </w:r>
      <w:r w:rsidR="1E12BBB6">
        <w:rPr>
          <w:rFonts w:ascii="Calibri" w:eastAsia="Times New Roman" w:hAnsi="Calibri" w:cs="Calibri"/>
          <w:color w:val="000000" w:themeColor="accent6"/>
          <w:sz w:val="18"/>
          <w:szCs w:val="18"/>
        </w:rPr>
        <w:t xml:space="preserve"> </w:t>
      </w:r>
      <w:r w:rsidR="3A30A9AE">
        <w:rPr>
          <w:rFonts w:ascii="Calibri" w:eastAsia="Times New Roman" w:hAnsi="Calibri" w:cs="Calibri"/>
          <w:color w:val="000000" w:themeColor="accent6"/>
          <w:sz w:val="18"/>
          <w:szCs w:val="18"/>
        </w:rPr>
        <w:t xml:space="preserve">Oversikt over antall </w:t>
      </w:r>
      <w:r w:rsidR="0A5E9B54">
        <w:rPr>
          <w:rFonts w:ascii="Calibri" w:eastAsia="Times New Roman" w:hAnsi="Calibri" w:cs="Calibri"/>
          <w:color w:val="000000" w:themeColor="accent6"/>
          <w:sz w:val="18"/>
          <w:szCs w:val="18"/>
        </w:rPr>
        <w:t xml:space="preserve">forskningsrådsfinansierte </w:t>
      </w:r>
      <w:r w:rsidR="1E12BBB6">
        <w:rPr>
          <w:rFonts w:ascii="Calibri" w:eastAsia="Times New Roman" w:hAnsi="Calibri" w:cs="Calibri"/>
          <w:color w:val="000000" w:themeColor="accent6"/>
          <w:sz w:val="18"/>
          <w:szCs w:val="18"/>
        </w:rPr>
        <w:t>doktor</w:t>
      </w:r>
      <w:r w:rsidR="6CA40B88" w:rsidRPr="7AA4D1AC">
        <w:rPr>
          <w:rFonts w:ascii="Calibri" w:eastAsia="Times New Roman" w:hAnsi="Calibri" w:cs="Calibri"/>
          <w:color w:val="000000" w:themeColor="accent6"/>
          <w:sz w:val="18"/>
          <w:szCs w:val="18"/>
        </w:rPr>
        <w:t>stipendiat</w:t>
      </w:r>
      <w:r w:rsidR="0A5E9B54">
        <w:rPr>
          <w:rFonts w:ascii="Calibri" w:eastAsia="Times New Roman" w:hAnsi="Calibri" w:cs="Calibri"/>
          <w:color w:val="000000" w:themeColor="accent6"/>
          <w:sz w:val="18"/>
          <w:szCs w:val="18"/>
        </w:rPr>
        <w:t xml:space="preserve">- </w:t>
      </w:r>
      <w:r w:rsidR="1E12BBB6">
        <w:rPr>
          <w:rFonts w:ascii="Calibri" w:eastAsia="Times New Roman" w:hAnsi="Calibri" w:cs="Calibri"/>
          <w:color w:val="000000" w:themeColor="accent6"/>
          <w:sz w:val="18"/>
          <w:szCs w:val="18"/>
        </w:rPr>
        <w:t>og postdoktorårsverk i perioden 2012-2021</w:t>
      </w:r>
      <w:r w:rsidR="5B970437">
        <w:rPr>
          <w:rFonts w:ascii="Calibri" w:eastAsia="Times New Roman" w:hAnsi="Calibri" w:cs="Calibri"/>
          <w:color w:val="000000" w:themeColor="accent6"/>
          <w:sz w:val="18"/>
          <w:szCs w:val="18"/>
        </w:rPr>
        <w:t>.</w:t>
      </w:r>
      <w:r w:rsidR="00BC2915">
        <w:rPr>
          <w:noProof/>
        </w:rPr>
        <w:drawing>
          <wp:inline distT="0" distB="0" distL="0" distR="0" wp14:anchorId="0A628907" wp14:editId="435FCD54">
            <wp:extent cx="5759450" cy="2167247"/>
            <wp:effectExtent l="0" t="0" r="12700" b="5080"/>
            <wp:docPr id="25" name="Diagram 25">
              <a:extLst xmlns:a="http://schemas.openxmlformats.org/drawingml/2006/main">
                <a:ext uri="{FF2B5EF4-FFF2-40B4-BE49-F238E27FC236}">
                  <a16:creationId xmlns:a16="http://schemas.microsoft.com/office/drawing/2014/main" id="{4C846C87-0F57-438A-8B1D-5A7056BFDD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BB8508" w14:textId="34E835F0" w:rsidR="43958642" w:rsidRDefault="00BC2915" w:rsidP="43958642">
      <w:pPr>
        <w:spacing w:after="0" w:line="240" w:lineRule="auto"/>
        <w:rPr>
          <w:rFonts w:ascii="Calibri" w:eastAsia="Times New Roman" w:hAnsi="Calibri" w:cs="Calibri"/>
          <w:color w:val="000000" w:themeColor="accent6"/>
        </w:rPr>
      </w:pPr>
      <w:r>
        <w:rPr>
          <w:rFonts w:ascii="Calibri" w:eastAsia="Times New Roman" w:hAnsi="Calibri" w:cs="Calibri"/>
          <w:color w:val="000000" w:themeColor="accent6"/>
          <w:sz w:val="18"/>
          <w:szCs w:val="18"/>
        </w:rPr>
        <w:t>Kilde: Forskningsrådet</w:t>
      </w:r>
    </w:p>
    <w:p w14:paraId="6CA556B6" w14:textId="77777777" w:rsidR="00910358" w:rsidRDefault="00910358" w:rsidP="43958642">
      <w:pPr>
        <w:spacing w:after="0" w:line="240" w:lineRule="auto"/>
        <w:rPr>
          <w:rFonts w:ascii="Calibri" w:eastAsia="Times New Roman" w:hAnsi="Calibri" w:cs="Calibri"/>
          <w:color w:val="000000" w:themeColor="accent6"/>
        </w:rPr>
      </w:pPr>
    </w:p>
    <w:p w14:paraId="758FDD2B" w14:textId="798454DF" w:rsidR="004F0F25" w:rsidRPr="00235288" w:rsidRDefault="00EE63C3" w:rsidP="00235288">
      <w:pPr>
        <w:pStyle w:val="Overskrift1"/>
        <w:ind w:left="708"/>
        <w:rPr>
          <w:sz w:val="36"/>
          <w:szCs w:val="22"/>
        </w:rPr>
      </w:pPr>
      <w:bookmarkStart w:id="4" w:name="_Toc111796573"/>
      <w:r>
        <w:rPr>
          <w:sz w:val="36"/>
          <w:szCs w:val="22"/>
        </w:rPr>
        <w:lastRenderedPageBreak/>
        <w:t>4</w:t>
      </w:r>
      <w:r w:rsidR="00235288" w:rsidRPr="00235288">
        <w:rPr>
          <w:sz w:val="36"/>
          <w:szCs w:val="22"/>
        </w:rPr>
        <w:t xml:space="preserve">. </w:t>
      </w:r>
      <w:r w:rsidR="004F0F25" w:rsidRPr="00235288">
        <w:rPr>
          <w:sz w:val="36"/>
          <w:szCs w:val="22"/>
        </w:rPr>
        <w:t>Vurdering av porteføljen opp mot måloppnåelse</w:t>
      </w:r>
      <w:bookmarkEnd w:id="4"/>
      <w:r w:rsidR="004F0F25" w:rsidRPr="00235288">
        <w:rPr>
          <w:sz w:val="36"/>
          <w:szCs w:val="22"/>
        </w:rPr>
        <w:t> </w:t>
      </w:r>
    </w:p>
    <w:p w14:paraId="589E1561" w14:textId="77777777" w:rsidR="00B31DB1" w:rsidRDefault="00B31DB1" w:rsidP="004F0F25">
      <w:pPr>
        <w:spacing w:after="0" w:line="240" w:lineRule="auto"/>
        <w:textAlignment w:val="baseline"/>
        <w:rPr>
          <w:rFonts w:ascii="Calibri" w:eastAsia="Times New Roman" w:hAnsi="Calibri" w:cs="Calibri"/>
          <w:color w:val="auto"/>
        </w:rPr>
      </w:pPr>
    </w:p>
    <w:p w14:paraId="2B24B5F4" w14:textId="1FE6059C"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Langtidsplan for høyere utdanning og forskning (LTP)</w:t>
      </w:r>
      <w:r w:rsidR="003C4442">
        <w:rPr>
          <w:rFonts w:ascii="Calibri" w:eastAsia="Times New Roman" w:hAnsi="Calibri" w:cs="Calibri"/>
          <w:color w:val="auto"/>
        </w:rPr>
        <w:t xml:space="preserve"> </w:t>
      </w:r>
      <w:r w:rsidRPr="004F0F25">
        <w:rPr>
          <w:rFonts w:ascii="Calibri" w:eastAsia="Times New Roman" w:hAnsi="Calibri" w:cs="Calibri"/>
          <w:color w:val="auto"/>
        </w:rPr>
        <w:t>2019-2028 gir retning for den nasjonale politikken innen høyere utdanning og forskning, som igjen gir føringer for rekrutteringspolitikken. Forskningsrådets totale portefølje gjenspeiler i stor grad satsingsområdene i langtidsplanen. En analyse av Forskningsrådet</w:t>
      </w:r>
      <w:r w:rsidR="00DC5E63">
        <w:rPr>
          <w:rFonts w:ascii="Calibri" w:eastAsia="Times New Roman" w:hAnsi="Calibri" w:cs="Calibri"/>
          <w:color w:val="auto"/>
        </w:rPr>
        <w:t>s</w:t>
      </w:r>
      <w:r w:rsidRPr="004F0F25">
        <w:rPr>
          <w:rFonts w:ascii="Calibri" w:eastAsia="Times New Roman" w:hAnsi="Calibri" w:cs="Calibri"/>
          <w:color w:val="auto"/>
        </w:rPr>
        <w:t xml:space="preserve"> samlede </w:t>
      </w:r>
      <w:r w:rsidR="003C4442">
        <w:rPr>
          <w:rFonts w:ascii="Calibri" w:eastAsia="Times New Roman" w:hAnsi="Calibri" w:cs="Calibri"/>
          <w:color w:val="auto"/>
        </w:rPr>
        <w:t>rekrutterings</w:t>
      </w:r>
      <w:r w:rsidRPr="004F0F25">
        <w:rPr>
          <w:rFonts w:ascii="Calibri" w:eastAsia="Times New Roman" w:hAnsi="Calibri" w:cs="Calibri"/>
          <w:color w:val="auto"/>
        </w:rPr>
        <w:t>innsats vurdert opp mot overordnede prioriteringer gir en indikasjon på i hvilken grad Forskningsrådets innsa</w:t>
      </w:r>
      <w:r w:rsidR="00D652CE">
        <w:rPr>
          <w:rFonts w:ascii="Calibri" w:eastAsia="Times New Roman" w:hAnsi="Calibri" w:cs="Calibri"/>
          <w:color w:val="auto"/>
        </w:rPr>
        <w:t>t</w:t>
      </w:r>
      <w:r w:rsidRPr="004F0F25">
        <w:rPr>
          <w:rFonts w:ascii="Calibri" w:eastAsia="Times New Roman" w:hAnsi="Calibri" w:cs="Calibri"/>
          <w:color w:val="auto"/>
        </w:rPr>
        <w:t>s bidrar til å nå mål</w:t>
      </w:r>
      <w:r w:rsidR="003C4442">
        <w:rPr>
          <w:rFonts w:ascii="Calibri" w:eastAsia="Times New Roman" w:hAnsi="Calibri" w:cs="Calibri"/>
          <w:color w:val="auto"/>
        </w:rPr>
        <w:t xml:space="preserve">ene innenfor de </w:t>
      </w:r>
      <w:r w:rsidR="009320F3">
        <w:rPr>
          <w:rFonts w:ascii="Calibri" w:eastAsia="Times New Roman" w:hAnsi="Calibri" w:cs="Calibri"/>
          <w:color w:val="auto"/>
        </w:rPr>
        <w:t>prioriterte</w:t>
      </w:r>
      <w:r w:rsidRPr="004F0F25">
        <w:rPr>
          <w:rFonts w:ascii="Calibri" w:eastAsia="Times New Roman" w:hAnsi="Calibri" w:cs="Calibri"/>
          <w:color w:val="auto"/>
        </w:rPr>
        <w:t xml:space="preserve"> område</w:t>
      </w:r>
      <w:r w:rsidR="003C4442">
        <w:rPr>
          <w:rFonts w:ascii="Calibri" w:eastAsia="Times New Roman" w:hAnsi="Calibri" w:cs="Calibri"/>
          <w:color w:val="auto"/>
        </w:rPr>
        <w:t>ne</w:t>
      </w:r>
      <w:r w:rsidRPr="004F0F25">
        <w:rPr>
          <w:rFonts w:ascii="Calibri" w:eastAsia="Times New Roman" w:hAnsi="Calibri" w:cs="Calibri"/>
          <w:color w:val="auto"/>
        </w:rPr>
        <w:t>.  </w:t>
      </w:r>
    </w:p>
    <w:p w14:paraId="2655A074" w14:textId="77777777" w:rsidR="00726908" w:rsidRDefault="00726908" w:rsidP="004F0F25">
      <w:pPr>
        <w:spacing w:after="0" w:line="240" w:lineRule="auto"/>
        <w:textAlignment w:val="baseline"/>
        <w:rPr>
          <w:rFonts w:ascii="Calibri" w:eastAsia="Times New Roman" w:hAnsi="Calibri" w:cs="Calibri"/>
          <w:color w:val="auto"/>
        </w:rPr>
      </w:pPr>
    </w:p>
    <w:p w14:paraId="37F072BB" w14:textId="4AF29EC7" w:rsidR="007157C2" w:rsidRPr="00A61C28" w:rsidRDefault="00A61C28" w:rsidP="007157C2">
      <w:pPr>
        <w:spacing w:after="0" w:line="240" w:lineRule="auto"/>
        <w:textAlignment w:val="baseline"/>
        <w:rPr>
          <w:rFonts w:ascii="Calibri" w:eastAsia="Times New Roman" w:hAnsi="Calibri" w:cs="Calibri"/>
          <w:color w:val="000000" w:themeColor="accent6"/>
          <w:sz w:val="18"/>
          <w:szCs w:val="18"/>
        </w:rPr>
      </w:pPr>
      <w:r w:rsidRPr="00A61C28">
        <w:rPr>
          <w:rFonts w:ascii="Calibri" w:eastAsia="Times New Roman" w:hAnsi="Calibri" w:cs="Calibri"/>
          <w:color w:val="000000" w:themeColor="accent6"/>
          <w:sz w:val="18"/>
          <w:szCs w:val="18"/>
        </w:rPr>
        <w:t xml:space="preserve">Tabell 1: </w:t>
      </w:r>
      <w:r w:rsidR="007157C2" w:rsidRPr="00A61C28">
        <w:rPr>
          <w:rFonts w:ascii="Calibri" w:eastAsia="Times New Roman" w:hAnsi="Calibri" w:cs="Calibri"/>
          <w:color w:val="000000" w:themeColor="accent6"/>
          <w:sz w:val="18"/>
          <w:szCs w:val="18"/>
        </w:rPr>
        <w:t xml:space="preserve">Oversikt over overordnede mål: </w:t>
      </w:r>
    </w:p>
    <w:tbl>
      <w:tblPr>
        <w:tblStyle w:val="Tabellrutenett"/>
        <w:tblW w:w="0" w:type="auto"/>
        <w:tblLook w:val="04A0" w:firstRow="1" w:lastRow="0" w:firstColumn="1" w:lastColumn="0" w:noHBand="0" w:noVBand="1"/>
      </w:tblPr>
      <w:tblGrid>
        <w:gridCol w:w="3114"/>
        <w:gridCol w:w="2835"/>
        <w:gridCol w:w="3111"/>
      </w:tblGrid>
      <w:tr w:rsidR="007157C2" w14:paraId="75A309C6" w14:textId="77777777" w:rsidTr="004736BE">
        <w:tc>
          <w:tcPr>
            <w:tcW w:w="3114" w:type="dxa"/>
          </w:tcPr>
          <w:p w14:paraId="1E6E370B" w14:textId="77777777" w:rsidR="007157C2" w:rsidRPr="006F051D" w:rsidRDefault="007157C2" w:rsidP="004736BE">
            <w:pPr>
              <w:spacing w:after="0" w:line="240" w:lineRule="auto"/>
              <w:textAlignment w:val="baseline"/>
              <w:rPr>
                <w:rFonts w:ascii="Calibri" w:eastAsia="Times New Roman" w:hAnsi="Calibri" w:cs="Calibri"/>
                <w:b/>
                <w:bCs/>
                <w:color w:val="auto"/>
              </w:rPr>
            </w:pPr>
            <w:r w:rsidRPr="006F051D">
              <w:rPr>
                <w:rFonts w:ascii="Calibri" w:eastAsia="Times New Roman" w:hAnsi="Calibri" w:cs="Calibri"/>
                <w:b/>
                <w:bCs/>
                <w:color w:val="auto"/>
              </w:rPr>
              <w:t>Kunnskapsdepartementets mål for Forskningsrådet</w:t>
            </w:r>
          </w:p>
        </w:tc>
        <w:tc>
          <w:tcPr>
            <w:tcW w:w="2835" w:type="dxa"/>
          </w:tcPr>
          <w:p w14:paraId="054262F0" w14:textId="567204EB" w:rsidR="007157C2" w:rsidRPr="006F051D" w:rsidRDefault="00DC5E63" w:rsidP="004736BE">
            <w:pPr>
              <w:spacing w:after="0" w:line="240" w:lineRule="auto"/>
              <w:textAlignment w:val="baseline"/>
              <w:rPr>
                <w:rFonts w:ascii="Calibri" w:eastAsia="Times New Roman" w:hAnsi="Calibri" w:cs="Calibri"/>
                <w:b/>
                <w:bCs/>
                <w:color w:val="auto"/>
              </w:rPr>
            </w:pPr>
            <w:r>
              <w:rPr>
                <w:rFonts w:ascii="Calibri" w:eastAsia="Times New Roman" w:hAnsi="Calibri" w:cs="Calibri"/>
                <w:b/>
                <w:bCs/>
                <w:color w:val="auto"/>
              </w:rPr>
              <w:t>Forskningsrådet</w:t>
            </w:r>
            <w:r w:rsidR="007157C2" w:rsidRPr="006F051D">
              <w:rPr>
                <w:rFonts w:ascii="Calibri" w:eastAsia="Times New Roman" w:hAnsi="Calibri" w:cs="Calibri"/>
                <w:b/>
                <w:bCs/>
                <w:color w:val="auto"/>
              </w:rPr>
              <w:t>s strategi (2020-2024)</w:t>
            </w:r>
          </w:p>
        </w:tc>
        <w:tc>
          <w:tcPr>
            <w:tcW w:w="3111" w:type="dxa"/>
          </w:tcPr>
          <w:p w14:paraId="5EDA3EAB" w14:textId="77777777" w:rsidR="007157C2" w:rsidRPr="006F051D" w:rsidRDefault="007157C2" w:rsidP="004736BE">
            <w:pPr>
              <w:spacing w:after="0" w:line="240" w:lineRule="auto"/>
              <w:textAlignment w:val="baseline"/>
              <w:rPr>
                <w:rFonts w:ascii="Calibri" w:eastAsia="Times New Roman" w:hAnsi="Calibri" w:cs="Calibri"/>
                <w:b/>
                <w:bCs/>
                <w:color w:val="auto"/>
              </w:rPr>
            </w:pPr>
            <w:r w:rsidRPr="006F051D">
              <w:rPr>
                <w:rFonts w:ascii="Calibri" w:eastAsia="Times New Roman" w:hAnsi="Calibri" w:cs="Calibri"/>
                <w:b/>
                <w:bCs/>
                <w:color w:val="auto"/>
              </w:rPr>
              <w:t>Forskningsrådets rekrutteringspolicy</w:t>
            </w:r>
          </w:p>
        </w:tc>
      </w:tr>
      <w:tr w:rsidR="007157C2" w14:paraId="1BB7DFC4" w14:textId="77777777" w:rsidTr="004736BE">
        <w:tc>
          <w:tcPr>
            <w:tcW w:w="3114" w:type="dxa"/>
          </w:tcPr>
          <w:p w14:paraId="0ABAE11A" w14:textId="77777777" w:rsidR="007157C2" w:rsidRPr="006F051D" w:rsidRDefault="007157C2" w:rsidP="004736BE">
            <w:pPr>
              <w:spacing w:after="0" w:line="240" w:lineRule="auto"/>
              <w:textAlignment w:val="baseline"/>
              <w:rPr>
                <w:rFonts w:ascii="Calibri" w:eastAsia="Times New Roman" w:hAnsi="Calibri" w:cs="Calibri"/>
                <w:color w:val="auto"/>
              </w:rPr>
            </w:pPr>
            <w:r w:rsidRPr="006F051D">
              <w:rPr>
                <w:rFonts w:ascii="Calibri" w:eastAsia="Times New Roman" w:hAnsi="Calibri" w:cs="Calibri"/>
                <w:color w:val="auto"/>
              </w:rPr>
              <w:t>Økt vitenskapelig kvalitet</w:t>
            </w:r>
          </w:p>
        </w:tc>
        <w:tc>
          <w:tcPr>
            <w:tcW w:w="2835" w:type="dxa"/>
          </w:tcPr>
          <w:p w14:paraId="3E5A52C6" w14:textId="10A4EC6B" w:rsidR="007157C2" w:rsidRPr="006F051D" w:rsidRDefault="007157C2" w:rsidP="004736BE">
            <w:pPr>
              <w:spacing w:after="0" w:line="240" w:lineRule="auto"/>
              <w:textAlignment w:val="baseline"/>
              <w:rPr>
                <w:rFonts w:ascii="Calibri" w:eastAsia="Times New Roman" w:hAnsi="Calibri" w:cs="Calibri"/>
                <w:color w:val="auto"/>
              </w:rPr>
            </w:pPr>
            <w:r w:rsidRPr="006F051D">
              <w:rPr>
                <w:rFonts w:ascii="Calibri" w:eastAsia="Times New Roman" w:hAnsi="Calibri" w:cs="Calibri"/>
                <w:color w:val="auto"/>
              </w:rPr>
              <w:t>Grense</w:t>
            </w:r>
            <w:r w:rsidR="00CD4E5E">
              <w:rPr>
                <w:rFonts w:ascii="Calibri" w:eastAsia="Times New Roman" w:hAnsi="Calibri" w:cs="Calibri"/>
                <w:color w:val="auto"/>
              </w:rPr>
              <w:t>s</w:t>
            </w:r>
            <w:r w:rsidRPr="006F051D">
              <w:rPr>
                <w:rFonts w:ascii="Calibri" w:eastAsia="Times New Roman" w:hAnsi="Calibri" w:cs="Calibri"/>
                <w:color w:val="auto"/>
              </w:rPr>
              <w:t>prengende forskning og radikal innovasjon</w:t>
            </w:r>
          </w:p>
        </w:tc>
        <w:tc>
          <w:tcPr>
            <w:tcW w:w="3111" w:type="dxa"/>
          </w:tcPr>
          <w:p w14:paraId="2A2655D7" w14:textId="77777777" w:rsidR="007157C2" w:rsidRPr="006F051D" w:rsidRDefault="007157C2" w:rsidP="004736BE">
            <w:pPr>
              <w:spacing w:after="0" w:line="240" w:lineRule="auto"/>
              <w:textAlignment w:val="baseline"/>
              <w:rPr>
                <w:rFonts w:ascii="Calibri" w:eastAsia="Times New Roman" w:hAnsi="Calibri" w:cs="Calibri"/>
                <w:color w:val="auto"/>
              </w:rPr>
            </w:pPr>
            <w:r w:rsidRPr="006F051D">
              <w:rPr>
                <w:rFonts w:ascii="Calibri" w:eastAsia="Times New Roman" w:hAnsi="Calibri" w:cs="Calibri"/>
                <w:color w:val="auto"/>
              </w:rPr>
              <w:t>Styrket kvalitet i forskerkvalifiseringen</w:t>
            </w:r>
          </w:p>
        </w:tc>
      </w:tr>
      <w:tr w:rsidR="007157C2" w14:paraId="2AAC85AD" w14:textId="77777777" w:rsidTr="004736BE">
        <w:tc>
          <w:tcPr>
            <w:tcW w:w="3114" w:type="dxa"/>
          </w:tcPr>
          <w:p w14:paraId="781020B1" w14:textId="77777777" w:rsidR="007157C2" w:rsidRDefault="007157C2" w:rsidP="004736BE">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Økt verdiskapning i næringslivet</w:t>
            </w:r>
          </w:p>
        </w:tc>
        <w:tc>
          <w:tcPr>
            <w:tcW w:w="2835" w:type="dxa"/>
          </w:tcPr>
          <w:p w14:paraId="1DC312E0" w14:textId="77777777" w:rsidR="007157C2" w:rsidRDefault="007157C2" w:rsidP="004736BE">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Omstilling i næringsliv og offentlig sektor</w:t>
            </w:r>
          </w:p>
        </w:tc>
        <w:tc>
          <w:tcPr>
            <w:tcW w:w="3111" w:type="dxa"/>
          </w:tcPr>
          <w:p w14:paraId="5FB7D67E" w14:textId="08079BE3" w:rsidR="007157C2" w:rsidRDefault="007157C2" w:rsidP="004736BE">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Sikre kapasitet i forskerkvalifiseringen</w:t>
            </w:r>
            <w:r w:rsidR="003C4442">
              <w:rPr>
                <w:rFonts w:ascii="Calibri" w:eastAsia="Times New Roman" w:hAnsi="Calibri" w:cs="Calibri"/>
                <w:color w:val="auto"/>
              </w:rPr>
              <w:t xml:space="preserve"> og </w:t>
            </w:r>
            <w:r>
              <w:rPr>
                <w:rFonts w:ascii="Calibri" w:eastAsia="Times New Roman" w:hAnsi="Calibri" w:cs="Calibri"/>
                <w:color w:val="auto"/>
              </w:rPr>
              <w:t>styrke rekruttering på nasjonalt prioriterte områder</w:t>
            </w:r>
          </w:p>
        </w:tc>
      </w:tr>
      <w:tr w:rsidR="002505AB" w14:paraId="41593548" w14:textId="77777777" w:rsidTr="004736BE">
        <w:tc>
          <w:tcPr>
            <w:tcW w:w="3114" w:type="dxa"/>
          </w:tcPr>
          <w:p w14:paraId="379118E3" w14:textId="77777777" w:rsidR="002505AB" w:rsidRDefault="002505AB" w:rsidP="002505AB">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Møte store samfunnsutfordringer</w:t>
            </w:r>
          </w:p>
        </w:tc>
        <w:tc>
          <w:tcPr>
            <w:tcW w:w="2835" w:type="dxa"/>
          </w:tcPr>
          <w:p w14:paraId="1CC845DD" w14:textId="37994F47" w:rsidR="002505AB" w:rsidRDefault="002505AB" w:rsidP="002505AB">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Bærekraftig utvikling, herunder strategiske områder:</w:t>
            </w:r>
          </w:p>
          <w:p w14:paraId="4A2CF2F2" w14:textId="77777777" w:rsidR="002505AB" w:rsidRPr="008F6DBE" w:rsidRDefault="002505AB" w:rsidP="002505AB">
            <w:pPr>
              <w:pStyle w:val="Listeavsnitt"/>
              <w:numPr>
                <w:ilvl w:val="0"/>
                <w:numId w:val="19"/>
              </w:numPr>
              <w:spacing w:after="0" w:line="240" w:lineRule="auto"/>
              <w:textAlignment w:val="baseline"/>
              <w:rPr>
                <w:rFonts w:ascii="Calibri" w:eastAsia="Times New Roman" w:hAnsi="Calibri" w:cs="Calibri"/>
                <w:color w:val="auto"/>
              </w:rPr>
            </w:pPr>
            <w:r w:rsidRPr="008F6DBE">
              <w:rPr>
                <w:rFonts w:ascii="Calibri" w:eastAsia="Times New Roman" w:hAnsi="Calibri" w:cs="Calibri"/>
                <w:color w:val="auto"/>
              </w:rPr>
              <w:t>Hav</w:t>
            </w:r>
          </w:p>
          <w:p w14:paraId="39710894" w14:textId="77777777" w:rsidR="002505AB" w:rsidRPr="008F6DBE" w:rsidRDefault="002505AB" w:rsidP="002505AB">
            <w:pPr>
              <w:pStyle w:val="Listeavsnitt"/>
              <w:numPr>
                <w:ilvl w:val="0"/>
                <w:numId w:val="19"/>
              </w:numPr>
              <w:spacing w:after="0" w:line="240" w:lineRule="auto"/>
              <w:textAlignment w:val="baseline"/>
              <w:rPr>
                <w:rFonts w:ascii="Calibri" w:eastAsia="Times New Roman" w:hAnsi="Calibri" w:cs="Calibri"/>
                <w:color w:val="auto"/>
              </w:rPr>
            </w:pPr>
            <w:r w:rsidRPr="008F6DBE">
              <w:rPr>
                <w:rFonts w:ascii="Calibri" w:eastAsia="Times New Roman" w:hAnsi="Calibri" w:cs="Calibri"/>
                <w:color w:val="auto"/>
              </w:rPr>
              <w:t>Grønt skifte</w:t>
            </w:r>
          </w:p>
          <w:p w14:paraId="4062E75D" w14:textId="77777777" w:rsidR="002505AB" w:rsidRPr="008F6DBE" w:rsidRDefault="002505AB" w:rsidP="002505AB">
            <w:pPr>
              <w:pStyle w:val="Listeavsnitt"/>
              <w:numPr>
                <w:ilvl w:val="0"/>
                <w:numId w:val="19"/>
              </w:numPr>
              <w:spacing w:after="0" w:line="240" w:lineRule="auto"/>
              <w:textAlignment w:val="baseline"/>
              <w:rPr>
                <w:rFonts w:ascii="Calibri" w:eastAsia="Times New Roman" w:hAnsi="Calibri" w:cs="Calibri"/>
                <w:color w:val="auto"/>
              </w:rPr>
            </w:pPr>
            <w:r w:rsidRPr="008F6DBE">
              <w:rPr>
                <w:rFonts w:ascii="Calibri" w:eastAsia="Times New Roman" w:hAnsi="Calibri" w:cs="Calibri"/>
                <w:color w:val="auto"/>
              </w:rPr>
              <w:t>Helse og velferd</w:t>
            </w:r>
          </w:p>
          <w:p w14:paraId="2D52AD35" w14:textId="0554F676" w:rsidR="002505AB" w:rsidRDefault="002505AB" w:rsidP="002505AB">
            <w:pPr>
              <w:pStyle w:val="Listeavsnitt"/>
              <w:numPr>
                <w:ilvl w:val="0"/>
                <w:numId w:val="19"/>
              </w:numPr>
              <w:spacing w:after="0" w:line="240" w:lineRule="auto"/>
              <w:textAlignment w:val="baseline"/>
              <w:rPr>
                <w:rFonts w:ascii="Calibri" w:eastAsia="Times New Roman" w:hAnsi="Calibri" w:cs="Calibri"/>
                <w:color w:val="auto"/>
              </w:rPr>
            </w:pPr>
            <w:r w:rsidRPr="008F6DBE">
              <w:rPr>
                <w:rFonts w:ascii="Calibri" w:eastAsia="Times New Roman" w:hAnsi="Calibri" w:cs="Calibri"/>
                <w:color w:val="auto"/>
              </w:rPr>
              <w:t>Teknologi og digitalisering</w:t>
            </w:r>
          </w:p>
          <w:p w14:paraId="54748A8A" w14:textId="2069A565" w:rsidR="002505AB" w:rsidRDefault="002505AB" w:rsidP="002505AB">
            <w:pPr>
              <w:pStyle w:val="Listeavsnitt"/>
              <w:numPr>
                <w:ilvl w:val="0"/>
                <w:numId w:val="19"/>
              </w:numPr>
              <w:spacing w:after="0" w:line="240" w:lineRule="auto"/>
              <w:textAlignment w:val="baseline"/>
              <w:rPr>
                <w:rFonts w:ascii="Calibri" w:eastAsia="Times New Roman" w:hAnsi="Calibri" w:cs="Calibri"/>
                <w:color w:val="auto"/>
              </w:rPr>
            </w:pPr>
            <w:r w:rsidRPr="008F6DBE">
              <w:rPr>
                <w:rFonts w:ascii="Calibri" w:eastAsia="Times New Roman" w:hAnsi="Calibri" w:cs="Calibri"/>
                <w:color w:val="auto"/>
              </w:rPr>
              <w:t>Samhørighet og globalisering</w:t>
            </w:r>
          </w:p>
        </w:tc>
        <w:tc>
          <w:tcPr>
            <w:tcW w:w="3111" w:type="dxa"/>
          </w:tcPr>
          <w:p w14:paraId="15F3B451" w14:textId="2F9A3451" w:rsidR="002505AB" w:rsidRDefault="002505AB" w:rsidP="002505AB">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Sikre kapasitet i forskerkvalifiseringen og styrke rekruttering på nasjonalt prioriterte områder</w:t>
            </w:r>
          </w:p>
        </w:tc>
      </w:tr>
      <w:tr w:rsidR="002505AB" w14:paraId="68213D9C" w14:textId="77777777" w:rsidTr="004736BE">
        <w:tc>
          <w:tcPr>
            <w:tcW w:w="3114" w:type="dxa"/>
          </w:tcPr>
          <w:p w14:paraId="165DEB4B" w14:textId="2B785D1B" w:rsidR="002505AB" w:rsidRDefault="002505AB" w:rsidP="002505AB">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Velfungerende forskningssystem</w:t>
            </w:r>
          </w:p>
        </w:tc>
        <w:tc>
          <w:tcPr>
            <w:tcW w:w="2835" w:type="dxa"/>
          </w:tcPr>
          <w:p w14:paraId="2C185172" w14:textId="1A34A779" w:rsidR="002505AB" w:rsidRPr="008F6DBE" w:rsidRDefault="002505AB" w:rsidP="002505AB">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 xml:space="preserve">Rekruttering forutsetning for velfungerende forskningssystem </w:t>
            </w:r>
          </w:p>
        </w:tc>
        <w:tc>
          <w:tcPr>
            <w:tcW w:w="3111" w:type="dxa"/>
          </w:tcPr>
          <w:p w14:paraId="3BF95AE8" w14:textId="4B5468AE" w:rsidR="002505AB" w:rsidRDefault="002505AB" w:rsidP="002505AB">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Gjøre forskerkarrieren attraktiv</w:t>
            </w:r>
          </w:p>
        </w:tc>
      </w:tr>
    </w:tbl>
    <w:p w14:paraId="1CEC7BAD" w14:textId="50BAC6AC" w:rsidR="00726908" w:rsidRDefault="00726908" w:rsidP="004F0F25">
      <w:pPr>
        <w:spacing w:after="0" w:line="240" w:lineRule="auto"/>
        <w:textAlignment w:val="baseline"/>
        <w:rPr>
          <w:rFonts w:ascii="Calibri" w:eastAsia="Times New Roman" w:hAnsi="Calibri" w:cs="Calibri"/>
          <w:color w:val="auto"/>
        </w:rPr>
      </w:pPr>
    </w:p>
    <w:p w14:paraId="562AE064" w14:textId="1E233B65"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xml:space="preserve">I analysen har vi valgt å gjøre en vurdering av oppnådde resultater knyttet mot fire </w:t>
      </w:r>
      <w:r w:rsidR="007A0E60">
        <w:rPr>
          <w:rFonts w:ascii="Calibri" w:eastAsia="Times New Roman" w:hAnsi="Calibri" w:cs="Calibri"/>
          <w:color w:val="000000"/>
        </w:rPr>
        <w:t>dimensjoner</w:t>
      </w:r>
      <w:r w:rsidRPr="004F0F25">
        <w:rPr>
          <w:rFonts w:ascii="Calibri" w:eastAsia="Times New Roman" w:hAnsi="Calibri" w:cs="Calibri"/>
          <w:color w:val="000000"/>
        </w:rPr>
        <w:t xml:space="preserve">, utledet av langtidsplanen, </w:t>
      </w:r>
      <w:r w:rsidR="00855B4C" w:rsidRPr="00B836B2">
        <w:rPr>
          <w:rFonts w:ascii="Calibri" w:eastAsia="Times New Roman" w:hAnsi="Calibri" w:cs="Calibri"/>
          <w:i/>
          <w:iCs/>
          <w:color w:val="000000"/>
        </w:rPr>
        <w:t>Forskningsrådets</w:t>
      </w:r>
      <w:r w:rsidRPr="00B836B2">
        <w:rPr>
          <w:rFonts w:ascii="Calibri" w:eastAsia="Times New Roman" w:hAnsi="Calibri" w:cs="Calibri"/>
          <w:i/>
          <w:iCs/>
          <w:color w:val="000000"/>
        </w:rPr>
        <w:t xml:space="preserve"> strategi for 2020-2024</w:t>
      </w:r>
      <w:r w:rsidRPr="004F0F25">
        <w:rPr>
          <w:rFonts w:ascii="Calibri" w:eastAsia="Times New Roman" w:hAnsi="Calibri" w:cs="Calibri"/>
          <w:color w:val="000000"/>
        </w:rPr>
        <w:t xml:space="preserve"> og Forskningsrådets policy for 2016-2020, </w:t>
      </w:r>
      <w:r w:rsidRPr="00B836B2">
        <w:rPr>
          <w:rFonts w:ascii="Calibri" w:eastAsia="Times New Roman" w:hAnsi="Calibri" w:cs="Calibri"/>
          <w:i/>
          <w:iCs/>
          <w:color w:val="000000"/>
        </w:rPr>
        <w:t>Rekruttering til forskning</w:t>
      </w:r>
      <w:r w:rsidRPr="004F0F25">
        <w:rPr>
          <w:rFonts w:ascii="Calibri" w:eastAsia="Times New Roman" w:hAnsi="Calibri" w:cs="Calibri"/>
          <w:color w:val="000000"/>
        </w:rPr>
        <w:t xml:space="preserve">. De fire </w:t>
      </w:r>
      <w:r w:rsidR="007A0E60">
        <w:rPr>
          <w:rFonts w:ascii="Calibri" w:eastAsia="Times New Roman" w:hAnsi="Calibri" w:cs="Calibri"/>
          <w:color w:val="000000"/>
        </w:rPr>
        <w:t>dimensjonene e</w:t>
      </w:r>
      <w:r w:rsidRPr="004F0F25">
        <w:rPr>
          <w:rFonts w:ascii="Calibri" w:eastAsia="Times New Roman" w:hAnsi="Calibri" w:cs="Calibri"/>
          <w:color w:val="000000"/>
        </w:rPr>
        <w:t>r</w:t>
      </w:r>
      <w:r w:rsidR="00BC28A1">
        <w:rPr>
          <w:rFonts w:ascii="Calibri" w:eastAsia="Times New Roman" w:hAnsi="Calibri" w:cs="Calibri"/>
          <w:color w:val="000000"/>
        </w:rPr>
        <w:t>:</w:t>
      </w:r>
      <w:r w:rsidRPr="004F0F25">
        <w:rPr>
          <w:rFonts w:ascii="Calibri" w:eastAsia="Times New Roman" w:hAnsi="Calibri" w:cs="Calibri"/>
          <w:color w:val="000000"/>
        </w:rPr>
        <w:t> </w:t>
      </w:r>
      <w:r w:rsidRPr="002A5E17">
        <w:rPr>
          <w:rFonts w:ascii="Calibri" w:eastAsia="Times New Roman" w:hAnsi="Calibri" w:cs="Calibri"/>
          <w:color w:val="000000"/>
        </w:rPr>
        <w:t> </w:t>
      </w:r>
    </w:p>
    <w:p w14:paraId="041DAB62" w14:textId="0CBB1AE1" w:rsidR="004F0F25" w:rsidRPr="006B542E" w:rsidRDefault="004F0F25" w:rsidP="006B542E">
      <w:pPr>
        <w:pStyle w:val="Listeavsnitt"/>
        <w:numPr>
          <w:ilvl w:val="0"/>
          <w:numId w:val="26"/>
        </w:numPr>
        <w:spacing w:after="0" w:line="240" w:lineRule="auto"/>
        <w:textAlignment w:val="baseline"/>
        <w:rPr>
          <w:rFonts w:ascii="MS Mincho" w:eastAsia="MS Mincho" w:hAnsi="Verdana" w:cs="Calibri"/>
          <w:color w:val="000000"/>
        </w:rPr>
      </w:pPr>
      <w:r w:rsidRPr="006B542E">
        <w:rPr>
          <w:rFonts w:ascii="Calibri" w:eastAsia="MS Mincho" w:hAnsi="Calibri" w:cs="Calibri"/>
          <w:color w:val="000000"/>
        </w:rPr>
        <w:t>Kvalitet (sikre kvalitet og bredde i forskerkvalifiseringene) </w:t>
      </w:r>
    </w:p>
    <w:p w14:paraId="0144902B" w14:textId="69FCE195" w:rsidR="004F0F25" w:rsidRPr="002A5E17" w:rsidRDefault="004F0F25" w:rsidP="002A5E17">
      <w:pPr>
        <w:pStyle w:val="Listeavsnitt"/>
        <w:numPr>
          <w:ilvl w:val="0"/>
          <w:numId w:val="15"/>
        </w:numPr>
        <w:spacing w:after="0" w:line="240" w:lineRule="auto"/>
        <w:textAlignment w:val="baseline"/>
        <w:rPr>
          <w:rFonts w:ascii="Calibri" w:eastAsia="Times New Roman" w:hAnsi="Calibri" w:cs="Calibri"/>
          <w:color w:val="000000"/>
        </w:rPr>
      </w:pPr>
      <w:r w:rsidRPr="5033FB75">
        <w:rPr>
          <w:rFonts w:ascii="Calibri" w:eastAsia="Times New Roman" w:hAnsi="Calibri" w:cs="Calibri"/>
          <w:color w:val="000000" w:themeColor="accent6"/>
        </w:rPr>
        <w:t>Kapasitet (styrke kapasiteten i forskning</w:t>
      </w:r>
      <w:r w:rsidR="00C97ECF" w:rsidRPr="5033FB75">
        <w:rPr>
          <w:rFonts w:ascii="Calibri" w:eastAsia="Times New Roman" w:hAnsi="Calibri" w:cs="Calibri"/>
          <w:color w:val="000000" w:themeColor="accent6"/>
        </w:rPr>
        <w:t>en</w:t>
      </w:r>
      <w:r w:rsidRPr="5033FB75">
        <w:rPr>
          <w:rFonts w:ascii="Calibri" w:eastAsia="Times New Roman" w:hAnsi="Calibri" w:cs="Calibri"/>
          <w:color w:val="000000" w:themeColor="accent6"/>
        </w:rPr>
        <w:t xml:space="preserve"> gjennom finansiering av rekrutteringsstillinger) </w:t>
      </w:r>
    </w:p>
    <w:p w14:paraId="3E5B72A0" w14:textId="77777777" w:rsidR="004F0F25" w:rsidRPr="002A5E17" w:rsidRDefault="004F0F25" w:rsidP="002A5E17">
      <w:pPr>
        <w:pStyle w:val="Listeavsnitt"/>
        <w:numPr>
          <w:ilvl w:val="0"/>
          <w:numId w:val="15"/>
        </w:numPr>
        <w:spacing w:after="0" w:line="240" w:lineRule="auto"/>
        <w:textAlignment w:val="baseline"/>
        <w:rPr>
          <w:rFonts w:ascii="Calibri" w:eastAsia="Times New Roman" w:hAnsi="Calibri" w:cs="Calibri"/>
          <w:color w:val="000000"/>
        </w:rPr>
      </w:pPr>
      <w:r w:rsidRPr="002A5E17">
        <w:rPr>
          <w:rFonts w:ascii="Calibri" w:eastAsia="Times New Roman" w:hAnsi="Calibri" w:cs="Calibri"/>
          <w:color w:val="000000"/>
        </w:rPr>
        <w:t>Karriere (bidra til systematisk og langsiktig karriereutvikling for unge forskere) </w:t>
      </w:r>
    </w:p>
    <w:p w14:paraId="55493606" w14:textId="437AB33C" w:rsidR="004F0F25" w:rsidRPr="00974B27" w:rsidRDefault="004F0F25" w:rsidP="002A5E17">
      <w:pPr>
        <w:pStyle w:val="Listeavsnitt"/>
        <w:numPr>
          <w:ilvl w:val="0"/>
          <w:numId w:val="15"/>
        </w:numPr>
        <w:spacing w:after="0" w:line="240" w:lineRule="auto"/>
        <w:textAlignment w:val="baseline"/>
        <w:rPr>
          <w:rFonts w:ascii="Calibri" w:eastAsia="Times New Roman" w:hAnsi="Calibri" w:cs="Calibri"/>
          <w:color w:val="000000"/>
        </w:rPr>
      </w:pPr>
      <w:r w:rsidRPr="002A5E17">
        <w:rPr>
          <w:rFonts w:ascii="Calibri" w:eastAsia="Times New Roman" w:hAnsi="Calibri" w:cs="Calibri"/>
          <w:color w:val="000000"/>
        </w:rPr>
        <w:t>Kunnskapsflyt og sektorsamspill </w:t>
      </w:r>
      <w:r w:rsidR="00BC28A1" w:rsidRPr="00974B27">
        <w:rPr>
          <w:rFonts w:ascii="Calibri" w:eastAsia="Times New Roman" w:hAnsi="Calibri" w:cs="Calibri"/>
          <w:color w:val="000000"/>
        </w:rPr>
        <w:t>(</w:t>
      </w:r>
      <w:r w:rsidR="009320F3" w:rsidRPr="00974B27">
        <w:rPr>
          <w:rFonts w:ascii="Calibri" w:eastAsia="Times New Roman" w:hAnsi="Calibri" w:cs="Calibri"/>
          <w:color w:val="000000"/>
        </w:rPr>
        <w:t>internasjonal</w:t>
      </w:r>
      <w:r w:rsidR="00BC28A1" w:rsidRPr="00974B27">
        <w:rPr>
          <w:rFonts w:ascii="Calibri" w:eastAsia="Times New Roman" w:hAnsi="Calibri" w:cs="Calibri"/>
          <w:color w:val="000000"/>
        </w:rPr>
        <w:t xml:space="preserve"> mobilitet og sekto</w:t>
      </w:r>
      <w:r w:rsidR="00BC28A1">
        <w:rPr>
          <w:rFonts w:ascii="Calibri" w:eastAsia="Times New Roman" w:hAnsi="Calibri" w:cs="Calibri"/>
          <w:color w:val="000000"/>
        </w:rPr>
        <w:t>rmobilitet)</w:t>
      </w:r>
    </w:p>
    <w:p w14:paraId="74AA5792" w14:textId="77777777" w:rsidR="004F0F25" w:rsidRPr="00974B27" w:rsidRDefault="004F0F25" w:rsidP="004F0F25">
      <w:pPr>
        <w:spacing w:after="0" w:line="240" w:lineRule="auto"/>
        <w:ind w:left="720"/>
        <w:textAlignment w:val="baseline"/>
        <w:rPr>
          <w:rFonts w:ascii="Calibri" w:eastAsia="Times New Roman" w:hAnsi="Calibri" w:cs="Calibri"/>
          <w:color w:val="000000"/>
        </w:rPr>
      </w:pPr>
      <w:r w:rsidRPr="00974B27">
        <w:rPr>
          <w:rFonts w:ascii="Calibri" w:eastAsia="Times New Roman" w:hAnsi="Calibri" w:cs="Calibri"/>
          <w:color w:val="00338D"/>
        </w:rPr>
        <w:t> </w:t>
      </w:r>
    </w:p>
    <w:p w14:paraId="45EE829C" w14:textId="3797FA0B" w:rsidR="004F0F25" w:rsidRPr="00F101B8" w:rsidRDefault="00EE63C3" w:rsidP="002660C0">
      <w:pPr>
        <w:pStyle w:val="Overskrift2"/>
        <w:ind w:firstLine="708"/>
        <w:rPr>
          <w:color w:val="000000"/>
          <w:sz w:val="28"/>
          <w:szCs w:val="28"/>
        </w:rPr>
      </w:pPr>
      <w:bookmarkStart w:id="5" w:name="_Toc111796574"/>
      <w:r>
        <w:rPr>
          <w:sz w:val="28"/>
          <w:szCs w:val="28"/>
        </w:rPr>
        <w:t>4</w:t>
      </w:r>
      <w:r w:rsidR="002660C0" w:rsidRPr="002660C0">
        <w:rPr>
          <w:sz w:val="28"/>
          <w:szCs w:val="28"/>
        </w:rPr>
        <w:t xml:space="preserve">.1 </w:t>
      </w:r>
      <w:r w:rsidR="004F0F25" w:rsidRPr="002660C0">
        <w:rPr>
          <w:sz w:val="28"/>
          <w:szCs w:val="28"/>
        </w:rPr>
        <w:t>Kvalitet</w:t>
      </w:r>
      <w:bookmarkEnd w:id="5"/>
      <w:r w:rsidR="004F0F25" w:rsidRPr="002660C0">
        <w:rPr>
          <w:sz w:val="28"/>
          <w:szCs w:val="28"/>
        </w:rPr>
        <w:t> </w:t>
      </w:r>
      <w:r w:rsidR="004F0F25" w:rsidRPr="00F101B8">
        <w:rPr>
          <w:sz w:val="28"/>
          <w:szCs w:val="28"/>
        </w:rPr>
        <w:t> </w:t>
      </w:r>
    </w:p>
    <w:p w14:paraId="6A157D33" w14:textId="77777777" w:rsidR="004F0F25" w:rsidRPr="004F0F25" w:rsidRDefault="004F0F25" w:rsidP="004F0F25">
      <w:pPr>
        <w:spacing w:after="0" w:line="240" w:lineRule="auto"/>
        <w:ind w:left="45"/>
        <w:textAlignment w:val="baseline"/>
        <w:rPr>
          <w:rFonts w:ascii="Calibri" w:eastAsia="Times New Roman" w:hAnsi="Calibri" w:cs="Calibri"/>
          <w:color w:val="000000"/>
        </w:rPr>
      </w:pPr>
      <w:r w:rsidRPr="004F0F25">
        <w:rPr>
          <w:rFonts w:ascii="Calibri" w:eastAsia="Times New Roman" w:hAnsi="Calibri" w:cs="Calibri"/>
          <w:color w:val="000000"/>
        </w:rPr>
        <w:t>Regjeringens langtidsplan for forskning og høyere utdanning signaliserte satsing på verdensledende fagmiljøer, innovasjon og omstilling. Forskingsrådets aller viktigste bidrag til kvalitet i forskerkvalifiseringen er gjennom å finansiere doktorgrads- og postdoktorstipendiater i prosjekter som har vunnet fram i konkurranse med andre.  </w:t>
      </w:r>
    </w:p>
    <w:p w14:paraId="1DB607E1" w14:textId="07EE3911" w:rsidR="00974B27" w:rsidRDefault="004F0F25" w:rsidP="43958642">
      <w:pPr>
        <w:spacing w:after="0" w:line="240" w:lineRule="auto"/>
        <w:ind w:left="45"/>
        <w:textAlignment w:val="baseline"/>
        <w:rPr>
          <w:rFonts w:ascii="Calibri" w:eastAsia="Times New Roman" w:hAnsi="Calibri" w:cs="Calibri"/>
          <w:color w:val="000000" w:themeColor="accent6"/>
        </w:rPr>
      </w:pPr>
      <w:r w:rsidRPr="004F0F25">
        <w:rPr>
          <w:rFonts w:ascii="Calibri" w:eastAsia="Times New Roman" w:hAnsi="Calibri" w:cs="Calibri"/>
          <w:color w:val="000000"/>
        </w:rPr>
        <w:t>  </w:t>
      </w:r>
    </w:p>
    <w:p w14:paraId="269BF0A7" w14:textId="77777777" w:rsidR="00287337" w:rsidRDefault="00287337">
      <w:pPr>
        <w:spacing w:after="200" w:line="276" w:lineRule="auto"/>
        <w:rPr>
          <w:rFonts w:ascii="Calibri" w:eastAsia="Times New Roman" w:hAnsi="Calibri" w:cs="Calibri"/>
          <w:b/>
          <w:bCs/>
          <w:i/>
          <w:iCs/>
          <w:color w:val="000000" w:themeColor="accent6"/>
        </w:rPr>
      </w:pPr>
      <w:r>
        <w:rPr>
          <w:rFonts w:ascii="Calibri" w:eastAsia="Times New Roman" w:hAnsi="Calibri" w:cs="Calibri"/>
          <w:b/>
          <w:bCs/>
          <w:i/>
          <w:iCs/>
          <w:color w:val="000000" w:themeColor="accent6"/>
        </w:rPr>
        <w:br w:type="page"/>
      </w:r>
    </w:p>
    <w:p w14:paraId="1729576F" w14:textId="46117400" w:rsidR="004F0F25" w:rsidRPr="004F0F25" w:rsidRDefault="004F0F25" w:rsidP="43958642">
      <w:pPr>
        <w:spacing w:after="0" w:line="240" w:lineRule="auto"/>
        <w:ind w:left="45"/>
        <w:textAlignment w:val="baseline"/>
        <w:rPr>
          <w:rFonts w:ascii="Calibri" w:eastAsia="Times New Roman" w:hAnsi="Calibri" w:cs="Calibri"/>
          <w:color w:val="000000"/>
        </w:rPr>
      </w:pPr>
      <w:r w:rsidRPr="43958642">
        <w:rPr>
          <w:rFonts w:ascii="Calibri" w:eastAsia="Times New Roman" w:hAnsi="Calibri" w:cs="Calibri"/>
          <w:b/>
          <w:bCs/>
          <w:i/>
          <w:iCs/>
          <w:color w:val="000000" w:themeColor="accent6"/>
        </w:rPr>
        <w:lastRenderedPageBreak/>
        <w:t>Flest stipendiater i virkemidler som bidrar til å utvikle fagmiljøer av fremragende kvalitet   </w:t>
      </w:r>
      <w:r w:rsidRPr="43958642">
        <w:rPr>
          <w:rFonts w:ascii="Calibri" w:eastAsia="Times New Roman" w:hAnsi="Calibri" w:cs="Calibri"/>
          <w:color w:val="000000" w:themeColor="accent6"/>
        </w:rPr>
        <w:t> </w:t>
      </w:r>
    </w:p>
    <w:p w14:paraId="4BA6F430" w14:textId="77777777" w:rsidR="0020653B" w:rsidRDefault="0020653B" w:rsidP="43958642">
      <w:pPr>
        <w:spacing w:after="0" w:line="240" w:lineRule="auto"/>
        <w:rPr>
          <w:rFonts w:ascii="Calibri" w:eastAsia="Times New Roman" w:hAnsi="Calibri" w:cs="Calibri"/>
          <w:i/>
          <w:iCs/>
          <w:color w:val="000000" w:themeColor="accent6"/>
          <w:sz w:val="16"/>
          <w:szCs w:val="16"/>
        </w:rPr>
      </w:pPr>
    </w:p>
    <w:p w14:paraId="4CEF24D5" w14:textId="289BFB49" w:rsidR="00792435" w:rsidRDefault="00792435" w:rsidP="00792435">
      <w:pPr>
        <w:spacing w:after="0" w:line="240" w:lineRule="auto"/>
        <w:textAlignment w:val="baseline"/>
        <w:rPr>
          <w:rFonts w:ascii="Calibri" w:hAnsi="Calibri" w:cs="Calibri"/>
          <w:noProof/>
          <w:color w:val="000000"/>
        </w:rPr>
      </w:pPr>
      <w:r w:rsidRPr="00974B27">
        <w:rPr>
          <w:rFonts w:ascii="Calibri" w:eastAsia="Times New Roman" w:hAnsi="Calibri" w:cs="Calibri"/>
          <w:color w:val="000000" w:themeColor="accent6"/>
          <w:sz w:val="18"/>
          <w:szCs w:val="18"/>
        </w:rPr>
        <w:t xml:space="preserve">Figur </w:t>
      </w:r>
      <w:r w:rsidR="00287337">
        <w:rPr>
          <w:rFonts w:ascii="Calibri" w:eastAsia="Times New Roman" w:hAnsi="Calibri" w:cs="Calibri"/>
          <w:color w:val="000000" w:themeColor="accent6"/>
          <w:sz w:val="18"/>
          <w:szCs w:val="18"/>
        </w:rPr>
        <w:t>4</w:t>
      </w:r>
      <w:r w:rsidR="00974B27" w:rsidRPr="00974B27">
        <w:rPr>
          <w:rFonts w:ascii="Calibri" w:eastAsia="Times New Roman" w:hAnsi="Calibri" w:cs="Calibri"/>
          <w:color w:val="000000" w:themeColor="accent6"/>
          <w:sz w:val="18"/>
          <w:szCs w:val="18"/>
        </w:rPr>
        <w:t>.1</w:t>
      </w:r>
      <w:r w:rsidR="005944BA" w:rsidRPr="00974B27">
        <w:rPr>
          <w:rFonts w:ascii="Calibri" w:eastAsia="Times New Roman" w:hAnsi="Calibri" w:cs="Calibri"/>
          <w:color w:val="000000" w:themeColor="accent6"/>
          <w:sz w:val="18"/>
          <w:szCs w:val="18"/>
        </w:rPr>
        <w:t xml:space="preserve"> </w:t>
      </w:r>
      <w:r w:rsidR="004970BB">
        <w:rPr>
          <w:rFonts w:ascii="Calibri" w:eastAsia="Times New Roman" w:hAnsi="Calibri" w:cs="Calibri"/>
          <w:color w:val="000000" w:themeColor="accent6"/>
          <w:sz w:val="18"/>
          <w:szCs w:val="18"/>
        </w:rPr>
        <w:t xml:space="preserve">og </w:t>
      </w:r>
      <w:r w:rsidR="00287337">
        <w:rPr>
          <w:rFonts w:ascii="Calibri" w:eastAsia="Times New Roman" w:hAnsi="Calibri" w:cs="Calibri"/>
          <w:color w:val="000000" w:themeColor="accent6"/>
          <w:sz w:val="18"/>
          <w:szCs w:val="18"/>
        </w:rPr>
        <w:t>4</w:t>
      </w:r>
      <w:r w:rsidR="004970BB">
        <w:rPr>
          <w:rFonts w:ascii="Calibri" w:eastAsia="Times New Roman" w:hAnsi="Calibri" w:cs="Calibri"/>
          <w:color w:val="000000" w:themeColor="accent6"/>
          <w:sz w:val="18"/>
          <w:szCs w:val="18"/>
        </w:rPr>
        <w:t xml:space="preserve">.2. Doktorstipendiater og postdoktorer </w:t>
      </w:r>
      <w:r w:rsidRPr="00974B27">
        <w:rPr>
          <w:rFonts w:ascii="Calibri" w:eastAsia="Times New Roman" w:hAnsi="Calibri" w:cs="Calibri"/>
          <w:color w:val="000000" w:themeColor="accent6"/>
          <w:sz w:val="18"/>
          <w:szCs w:val="18"/>
        </w:rPr>
        <w:t>fordelt på hovedaktivitet</w:t>
      </w:r>
      <w:r w:rsidR="004970BB">
        <w:rPr>
          <w:rFonts w:ascii="Calibri" w:eastAsia="Times New Roman" w:hAnsi="Calibri" w:cs="Calibri"/>
          <w:color w:val="000000" w:themeColor="accent6"/>
          <w:sz w:val="18"/>
          <w:szCs w:val="18"/>
        </w:rPr>
        <w:t xml:space="preserve">. Årsverk. </w:t>
      </w:r>
      <w:r w:rsidR="0020653B">
        <w:rPr>
          <w:rFonts w:ascii="Calibri" w:hAnsi="Calibri" w:cs="Calibri"/>
          <w:noProof/>
          <w:color w:val="000000"/>
        </w:rPr>
        <w:drawing>
          <wp:inline distT="0" distB="0" distL="0" distR="0" wp14:anchorId="0381F444" wp14:editId="5F27279D">
            <wp:extent cx="2844140" cy="2233911"/>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0068" cy="2238567"/>
                    </a:xfrm>
                    <a:prstGeom prst="rect">
                      <a:avLst/>
                    </a:prstGeom>
                    <a:noFill/>
                    <a:ln>
                      <a:noFill/>
                    </a:ln>
                  </pic:spPr>
                </pic:pic>
              </a:graphicData>
            </a:graphic>
          </wp:inline>
        </w:drawing>
      </w:r>
      <w:r w:rsidR="0020653B" w:rsidRPr="0020653B">
        <w:rPr>
          <w:rFonts w:ascii="Calibri" w:hAnsi="Calibri" w:cs="Calibri"/>
          <w:color w:val="000000"/>
        </w:rPr>
        <w:t xml:space="preserve"> </w:t>
      </w:r>
      <w:r w:rsidR="0020653B">
        <w:rPr>
          <w:rFonts w:ascii="Calibri" w:hAnsi="Calibri" w:cs="Calibri"/>
          <w:noProof/>
          <w:color w:val="000000"/>
        </w:rPr>
        <w:drawing>
          <wp:inline distT="0" distB="0" distL="0" distR="0" wp14:anchorId="03E0518B" wp14:editId="4A8CCF2C">
            <wp:extent cx="2674188" cy="2228210"/>
            <wp:effectExtent l="0" t="0" r="0" b="127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6457" cy="2230101"/>
                    </a:xfrm>
                    <a:prstGeom prst="rect">
                      <a:avLst/>
                    </a:prstGeom>
                    <a:noFill/>
                    <a:ln>
                      <a:noFill/>
                    </a:ln>
                  </pic:spPr>
                </pic:pic>
              </a:graphicData>
            </a:graphic>
          </wp:inline>
        </w:drawing>
      </w:r>
    </w:p>
    <w:p w14:paraId="64B93E2D" w14:textId="6D478869" w:rsidR="005D71ED" w:rsidRPr="0020653B" w:rsidRDefault="005D71ED" w:rsidP="005D71ED">
      <w:pPr>
        <w:spacing w:after="0" w:line="240" w:lineRule="auto"/>
        <w:rPr>
          <w:rFonts w:ascii="Calibri" w:eastAsia="Times New Roman" w:hAnsi="Calibri" w:cs="Calibri"/>
          <w:i/>
          <w:iCs/>
          <w:color w:val="000000"/>
          <w:sz w:val="16"/>
          <w:szCs w:val="16"/>
        </w:rPr>
      </w:pPr>
      <w:r w:rsidRPr="0020653B">
        <w:rPr>
          <w:rFonts w:ascii="Calibri" w:eastAsia="Times New Roman" w:hAnsi="Calibri" w:cs="Calibri"/>
          <w:i/>
          <w:iCs/>
          <w:color w:val="000000"/>
          <w:sz w:val="16"/>
          <w:szCs w:val="16"/>
        </w:rPr>
        <w:t>Kilde: Forskningsrådet</w:t>
      </w:r>
      <w:r w:rsidR="00BC28A1">
        <w:rPr>
          <w:rFonts w:ascii="Calibri" w:eastAsia="Times New Roman" w:hAnsi="Calibri" w:cs="Calibri"/>
          <w:i/>
          <w:iCs/>
          <w:color w:val="000000"/>
          <w:sz w:val="16"/>
          <w:szCs w:val="16"/>
        </w:rPr>
        <w:t>.</w:t>
      </w:r>
    </w:p>
    <w:p w14:paraId="4410806D" w14:textId="77777777" w:rsidR="005D71ED" w:rsidRPr="00792435" w:rsidRDefault="005D71ED" w:rsidP="00792435">
      <w:pPr>
        <w:spacing w:after="0" w:line="240" w:lineRule="auto"/>
        <w:textAlignment w:val="baseline"/>
        <w:rPr>
          <w:rFonts w:ascii="Segoe UI" w:eastAsia="Times New Roman" w:hAnsi="Segoe UI" w:cs="Segoe UI"/>
          <w:color w:val="000000"/>
          <w:sz w:val="18"/>
          <w:szCs w:val="18"/>
        </w:rPr>
      </w:pPr>
    </w:p>
    <w:p w14:paraId="05078725" w14:textId="04B1A33A" w:rsid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Forskningsrådet finansierer flest doktorgradsårsverk gjennom senterordningene (2</w:t>
      </w:r>
      <w:r w:rsidR="00D40ACD">
        <w:rPr>
          <w:rFonts w:ascii="Calibri" w:eastAsia="Times New Roman" w:hAnsi="Calibri" w:cs="Calibri"/>
          <w:color w:val="000000"/>
        </w:rPr>
        <w:t>1</w:t>
      </w:r>
      <w:r w:rsidR="00BC28A1">
        <w:rPr>
          <w:rFonts w:ascii="Calibri" w:eastAsia="Times New Roman" w:hAnsi="Calibri" w:cs="Calibri"/>
          <w:color w:val="000000"/>
        </w:rPr>
        <w:t xml:space="preserve"> </w:t>
      </w:r>
      <w:r w:rsidR="00534B9C">
        <w:rPr>
          <w:rFonts w:ascii="Calibri" w:eastAsia="Times New Roman" w:hAnsi="Calibri" w:cs="Calibri"/>
          <w:color w:val="000000"/>
        </w:rPr>
        <w:t>prosent</w:t>
      </w:r>
      <w:r w:rsidRPr="004F0F25">
        <w:rPr>
          <w:rFonts w:ascii="Calibri" w:eastAsia="Times New Roman" w:hAnsi="Calibri" w:cs="Calibri"/>
          <w:color w:val="000000"/>
        </w:rPr>
        <w:t>)</w:t>
      </w:r>
      <w:r w:rsidR="00D40ACD">
        <w:rPr>
          <w:rFonts w:ascii="Calibri" w:eastAsia="Times New Roman" w:hAnsi="Calibri" w:cs="Calibri"/>
          <w:color w:val="000000"/>
        </w:rPr>
        <w:t xml:space="preserve"> og </w:t>
      </w:r>
      <w:r w:rsidRPr="004F0F25">
        <w:rPr>
          <w:rFonts w:ascii="Calibri" w:eastAsia="Times New Roman" w:hAnsi="Calibri" w:cs="Calibri"/>
          <w:color w:val="000000"/>
        </w:rPr>
        <w:t>store programmer (2</w:t>
      </w:r>
      <w:r w:rsidR="00D40ACD">
        <w:rPr>
          <w:rFonts w:ascii="Calibri" w:eastAsia="Times New Roman" w:hAnsi="Calibri" w:cs="Calibri"/>
          <w:color w:val="000000"/>
        </w:rPr>
        <w:t>1</w:t>
      </w:r>
      <w:r w:rsidR="00BC28A1">
        <w:rPr>
          <w:rFonts w:ascii="Calibri" w:eastAsia="Times New Roman" w:hAnsi="Calibri" w:cs="Calibri"/>
          <w:color w:val="000000"/>
        </w:rPr>
        <w:t xml:space="preserve"> </w:t>
      </w:r>
      <w:r w:rsidR="00534B9C">
        <w:rPr>
          <w:rFonts w:ascii="Calibri" w:eastAsia="Times New Roman" w:hAnsi="Calibri" w:cs="Calibri"/>
          <w:color w:val="000000"/>
        </w:rPr>
        <w:t>prosent</w:t>
      </w:r>
      <w:r w:rsidRPr="004F0F25">
        <w:rPr>
          <w:rFonts w:ascii="Calibri" w:eastAsia="Times New Roman" w:hAnsi="Calibri" w:cs="Calibri"/>
          <w:color w:val="000000"/>
        </w:rPr>
        <w:t xml:space="preserve">) og </w:t>
      </w:r>
      <w:r w:rsidR="00D40ACD">
        <w:rPr>
          <w:rFonts w:ascii="Calibri" w:eastAsia="Times New Roman" w:hAnsi="Calibri" w:cs="Calibri"/>
          <w:color w:val="000000"/>
        </w:rPr>
        <w:t xml:space="preserve">nest mest </w:t>
      </w:r>
      <w:r w:rsidRPr="004F0F25">
        <w:rPr>
          <w:rFonts w:ascii="Calibri" w:eastAsia="Times New Roman" w:hAnsi="Calibri" w:cs="Calibri"/>
          <w:color w:val="000000"/>
        </w:rPr>
        <w:t>gjennom FRIPRO (1</w:t>
      </w:r>
      <w:r w:rsidR="00D40ACD">
        <w:rPr>
          <w:rFonts w:ascii="Calibri" w:eastAsia="Times New Roman" w:hAnsi="Calibri" w:cs="Calibri"/>
          <w:color w:val="000000"/>
        </w:rPr>
        <w:t>6</w:t>
      </w:r>
      <w:r w:rsidR="00BC28A1">
        <w:rPr>
          <w:rFonts w:ascii="Calibri" w:eastAsia="Times New Roman" w:hAnsi="Calibri" w:cs="Calibri"/>
          <w:color w:val="000000"/>
        </w:rPr>
        <w:t xml:space="preserve"> </w:t>
      </w:r>
      <w:r w:rsidR="00534B9C">
        <w:rPr>
          <w:rFonts w:ascii="Calibri" w:eastAsia="Times New Roman" w:hAnsi="Calibri" w:cs="Calibri"/>
          <w:color w:val="000000"/>
        </w:rPr>
        <w:t>prosent</w:t>
      </w:r>
      <w:r w:rsidRPr="004F0F25">
        <w:rPr>
          <w:rFonts w:ascii="Calibri" w:eastAsia="Times New Roman" w:hAnsi="Calibri" w:cs="Calibri"/>
          <w:color w:val="000000"/>
        </w:rPr>
        <w:t>).</w:t>
      </w:r>
      <w:r w:rsidR="003D44EB">
        <w:rPr>
          <w:rFonts w:ascii="Calibri" w:eastAsia="Times New Roman" w:hAnsi="Calibri" w:cs="Calibri"/>
          <w:color w:val="000000"/>
        </w:rPr>
        <w:t xml:space="preserve"> </w:t>
      </w:r>
      <w:r w:rsidRPr="004F0F25">
        <w:rPr>
          <w:rFonts w:ascii="Calibri" w:eastAsia="Times New Roman" w:hAnsi="Calibri" w:cs="Calibri"/>
          <w:color w:val="000000"/>
        </w:rPr>
        <w:t>På postdoktornivå ser vi at det er de samme hovedaktivitetene som dominerer, men her er det FRIPRO som finansierer flest (32</w:t>
      </w:r>
      <w:r w:rsidR="00BC28A1">
        <w:rPr>
          <w:rFonts w:ascii="Calibri" w:eastAsia="Times New Roman" w:hAnsi="Calibri" w:cs="Calibri"/>
          <w:color w:val="000000"/>
        </w:rPr>
        <w:t xml:space="preserve"> </w:t>
      </w:r>
      <w:r w:rsidR="00534B9C">
        <w:rPr>
          <w:rFonts w:ascii="Calibri" w:eastAsia="Times New Roman" w:hAnsi="Calibri" w:cs="Calibri"/>
          <w:color w:val="000000"/>
        </w:rPr>
        <w:t>prosent</w:t>
      </w:r>
      <w:r w:rsidRPr="004F0F25">
        <w:rPr>
          <w:rFonts w:ascii="Calibri" w:eastAsia="Times New Roman" w:hAnsi="Calibri" w:cs="Calibri"/>
          <w:color w:val="000000"/>
        </w:rPr>
        <w:t>), store programmer nest mest (22</w:t>
      </w:r>
      <w:r w:rsidR="00BC28A1">
        <w:rPr>
          <w:rFonts w:ascii="Calibri" w:eastAsia="Times New Roman" w:hAnsi="Calibri" w:cs="Calibri"/>
          <w:color w:val="000000"/>
        </w:rPr>
        <w:t xml:space="preserve"> </w:t>
      </w:r>
      <w:r w:rsidR="00534B9C">
        <w:rPr>
          <w:rFonts w:ascii="Calibri" w:eastAsia="Times New Roman" w:hAnsi="Calibri" w:cs="Calibri"/>
          <w:color w:val="000000"/>
        </w:rPr>
        <w:t>prosent</w:t>
      </w:r>
      <w:r w:rsidRPr="004F0F25">
        <w:rPr>
          <w:rFonts w:ascii="Calibri" w:eastAsia="Times New Roman" w:hAnsi="Calibri" w:cs="Calibri"/>
          <w:color w:val="000000"/>
        </w:rPr>
        <w:t>) og deretter senterordningene (16</w:t>
      </w:r>
      <w:r w:rsidR="00BC28A1">
        <w:rPr>
          <w:rFonts w:ascii="Calibri" w:eastAsia="Times New Roman" w:hAnsi="Calibri" w:cs="Calibri"/>
          <w:color w:val="000000"/>
        </w:rPr>
        <w:t xml:space="preserve"> </w:t>
      </w:r>
      <w:r w:rsidR="00534B9C">
        <w:rPr>
          <w:rFonts w:ascii="Calibri" w:eastAsia="Times New Roman" w:hAnsi="Calibri" w:cs="Calibri"/>
          <w:color w:val="000000"/>
        </w:rPr>
        <w:t>prosent</w:t>
      </w:r>
      <w:r w:rsidRPr="004F0F25">
        <w:rPr>
          <w:rFonts w:ascii="Calibri" w:eastAsia="Times New Roman" w:hAnsi="Calibri" w:cs="Calibri"/>
          <w:color w:val="000000"/>
        </w:rPr>
        <w:t>).</w:t>
      </w:r>
      <w:r w:rsidR="008261F1">
        <w:rPr>
          <w:rFonts w:ascii="Calibri" w:eastAsia="Times New Roman" w:hAnsi="Calibri" w:cs="Calibri"/>
          <w:color w:val="000000"/>
        </w:rPr>
        <w:t xml:space="preserve"> Forskningsrådet </w:t>
      </w:r>
      <w:r w:rsidR="00D40ACD">
        <w:rPr>
          <w:rFonts w:ascii="Calibri" w:eastAsia="Times New Roman" w:hAnsi="Calibri" w:cs="Calibri"/>
          <w:color w:val="000000"/>
        </w:rPr>
        <w:t xml:space="preserve">har </w:t>
      </w:r>
      <w:r w:rsidR="00B04888">
        <w:rPr>
          <w:rFonts w:ascii="Calibri" w:eastAsia="Times New Roman" w:hAnsi="Calibri" w:cs="Calibri"/>
          <w:color w:val="000000"/>
        </w:rPr>
        <w:t xml:space="preserve">gått bort fra å </w:t>
      </w:r>
      <w:r w:rsidR="008261F1">
        <w:rPr>
          <w:rFonts w:ascii="Calibri" w:eastAsia="Times New Roman" w:hAnsi="Calibri" w:cs="Calibri"/>
          <w:color w:val="000000"/>
        </w:rPr>
        <w:t>bruke</w:t>
      </w:r>
      <w:r w:rsidR="00B04888">
        <w:rPr>
          <w:rFonts w:ascii="Calibri" w:eastAsia="Times New Roman" w:hAnsi="Calibri" w:cs="Calibri"/>
          <w:color w:val="000000"/>
        </w:rPr>
        <w:t xml:space="preserve"> </w:t>
      </w:r>
      <w:r w:rsidR="008261F1">
        <w:rPr>
          <w:rFonts w:ascii="Calibri" w:eastAsia="Times New Roman" w:hAnsi="Calibri" w:cs="Calibri"/>
          <w:color w:val="000000"/>
        </w:rPr>
        <w:t xml:space="preserve">programmer i sine satsinger, men </w:t>
      </w:r>
      <w:r w:rsidR="001A5127">
        <w:rPr>
          <w:rFonts w:ascii="Calibri" w:eastAsia="Times New Roman" w:hAnsi="Calibri" w:cs="Calibri"/>
          <w:color w:val="000000"/>
        </w:rPr>
        <w:t xml:space="preserve">navnet </w:t>
      </w:r>
      <w:r w:rsidR="008261F1">
        <w:rPr>
          <w:rFonts w:ascii="Calibri" w:eastAsia="Times New Roman" w:hAnsi="Calibri" w:cs="Calibri"/>
          <w:color w:val="000000"/>
        </w:rPr>
        <w:t>"</w:t>
      </w:r>
      <w:r w:rsidR="00BC28A1">
        <w:rPr>
          <w:rFonts w:ascii="Calibri" w:eastAsia="Times New Roman" w:hAnsi="Calibri" w:cs="Calibri"/>
          <w:color w:val="000000"/>
        </w:rPr>
        <w:t>S</w:t>
      </w:r>
      <w:r w:rsidR="008261F1">
        <w:rPr>
          <w:rFonts w:ascii="Calibri" w:eastAsia="Times New Roman" w:hAnsi="Calibri" w:cs="Calibri"/>
          <w:color w:val="000000"/>
        </w:rPr>
        <w:t xml:space="preserve">tore programmer" </w:t>
      </w:r>
      <w:r w:rsidR="00B04888">
        <w:rPr>
          <w:rFonts w:ascii="Calibri" w:eastAsia="Times New Roman" w:hAnsi="Calibri" w:cs="Calibri"/>
          <w:color w:val="000000"/>
        </w:rPr>
        <w:t xml:space="preserve">benyttes </w:t>
      </w:r>
      <w:r w:rsidR="008261F1">
        <w:rPr>
          <w:rFonts w:ascii="Calibri" w:eastAsia="Times New Roman" w:hAnsi="Calibri" w:cs="Calibri"/>
          <w:color w:val="000000"/>
        </w:rPr>
        <w:t xml:space="preserve">i statistikksammenheng som en samlebetegnelse på satsinger som skal bidra </w:t>
      </w:r>
      <w:r w:rsidR="00D40ACD">
        <w:rPr>
          <w:rFonts w:ascii="Calibri" w:eastAsia="Times New Roman" w:hAnsi="Calibri" w:cs="Calibri"/>
          <w:color w:val="000000"/>
        </w:rPr>
        <w:t xml:space="preserve">til å realisere </w:t>
      </w:r>
      <w:r w:rsidR="00F3049E">
        <w:rPr>
          <w:rFonts w:ascii="Calibri" w:eastAsia="Times New Roman" w:hAnsi="Calibri" w:cs="Calibri"/>
          <w:color w:val="000000"/>
        </w:rPr>
        <w:t>sentrale forskningspolitiske prioriteringer</w:t>
      </w:r>
      <w:r w:rsidR="00416497">
        <w:rPr>
          <w:rFonts w:ascii="Calibri" w:eastAsia="Times New Roman" w:hAnsi="Calibri" w:cs="Calibri"/>
          <w:color w:val="000000"/>
        </w:rPr>
        <w:t xml:space="preserve"> innen tematiske områder</w:t>
      </w:r>
      <w:r w:rsidR="00F3049E">
        <w:rPr>
          <w:rFonts w:ascii="Calibri" w:eastAsia="Times New Roman" w:hAnsi="Calibri" w:cs="Calibri"/>
          <w:color w:val="000000"/>
        </w:rPr>
        <w:t xml:space="preserve">. </w:t>
      </w:r>
      <w:r w:rsidR="00B04888">
        <w:rPr>
          <w:rFonts w:ascii="Calibri" w:eastAsia="Times New Roman" w:hAnsi="Calibri" w:cs="Calibri"/>
          <w:color w:val="000000"/>
        </w:rPr>
        <w:t xml:space="preserve"> </w:t>
      </w:r>
    </w:p>
    <w:p w14:paraId="51758CA6" w14:textId="77777777" w:rsidR="00D40ACD" w:rsidRDefault="00D40ACD" w:rsidP="004F0F25">
      <w:pPr>
        <w:spacing w:after="0" w:line="240" w:lineRule="auto"/>
        <w:textAlignment w:val="baseline"/>
        <w:rPr>
          <w:rFonts w:ascii="Calibri" w:eastAsia="Times New Roman" w:hAnsi="Calibri" w:cs="Calibri"/>
          <w:color w:val="000000"/>
        </w:rPr>
      </w:pPr>
    </w:p>
    <w:p w14:paraId="58755079" w14:textId="28C30EFE" w:rsidR="008B1D27" w:rsidRDefault="00B06212" w:rsidP="00287337">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Fri</w:t>
      </w:r>
      <w:r w:rsidR="00BC28A1">
        <w:rPr>
          <w:rFonts w:ascii="Calibri" w:eastAsia="Times New Roman" w:hAnsi="Calibri" w:cs="Calibri"/>
          <w:color w:val="000000"/>
        </w:rPr>
        <w:t xml:space="preserve"> </w:t>
      </w:r>
      <w:r>
        <w:rPr>
          <w:rFonts w:ascii="Calibri" w:eastAsia="Times New Roman" w:hAnsi="Calibri" w:cs="Calibri"/>
          <w:color w:val="000000"/>
        </w:rPr>
        <w:t>pr</w:t>
      </w:r>
      <w:r w:rsidR="00F3049E">
        <w:rPr>
          <w:rFonts w:ascii="Calibri" w:eastAsia="Times New Roman" w:hAnsi="Calibri" w:cs="Calibri"/>
          <w:color w:val="000000"/>
        </w:rPr>
        <w:t>o</w:t>
      </w:r>
      <w:r>
        <w:rPr>
          <w:rFonts w:ascii="Calibri" w:eastAsia="Times New Roman" w:hAnsi="Calibri" w:cs="Calibri"/>
          <w:color w:val="000000"/>
        </w:rPr>
        <w:t>sjektstøtte (FRIPRO) og sentrene for fremragende forskning (SFF), er målrettede satsinger for fremragende forskning. S</w:t>
      </w:r>
      <w:r w:rsidR="004F0F25" w:rsidRPr="004F0F25">
        <w:rPr>
          <w:rFonts w:ascii="Calibri" w:eastAsia="Times New Roman" w:hAnsi="Calibri" w:cs="Calibri"/>
          <w:color w:val="000000"/>
        </w:rPr>
        <w:t xml:space="preserve">entrene for forskningsdrevet innovasjon (SFI), </w:t>
      </w:r>
      <w:r>
        <w:rPr>
          <w:rFonts w:ascii="Calibri" w:eastAsia="Times New Roman" w:hAnsi="Calibri" w:cs="Calibri"/>
          <w:color w:val="000000"/>
        </w:rPr>
        <w:t xml:space="preserve">og </w:t>
      </w:r>
      <w:r w:rsidR="004F0F25" w:rsidRPr="004F0F25">
        <w:rPr>
          <w:rFonts w:ascii="Calibri" w:eastAsia="Times New Roman" w:hAnsi="Calibri" w:cs="Calibri"/>
          <w:color w:val="000000"/>
        </w:rPr>
        <w:t xml:space="preserve">forskningssentre for miljøvennlig energi (FME) skal </w:t>
      </w:r>
      <w:r w:rsidR="00416497">
        <w:rPr>
          <w:rFonts w:ascii="Calibri" w:eastAsia="Times New Roman" w:hAnsi="Calibri" w:cs="Calibri"/>
          <w:color w:val="000000"/>
        </w:rPr>
        <w:t xml:space="preserve">også </w:t>
      </w:r>
      <w:r w:rsidR="004F0F25" w:rsidRPr="004F0F25">
        <w:rPr>
          <w:rFonts w:ascii="Calibri" w:eastAsia="Times New Roman" w:hAnsi="Calibri" w:cs="Calibri"/>
          <w:color w:val="000000"/>
        </w:rPr>
        <w:t xml:space="preserve">bidra til </w:t>
      </w:r>
      <w:r>
        <w:rPr>
          <w:rFonts w:ascii="Calibri" w:eastAsia="Times New Roman" w:hAnsi="Calibri" w:cs="Calibri"/>
          <w:color w:val="000000"/>
        </w:rPr>
        <w:t>høy vitenskapelig kvalitet</w:t>
      </w:r>
      <w:r w:rsidR="004F0F25" w:rsidRPr="004F0F25">
        <w:rPr>
          <w:rFonts w:ascii="Calibri" w:eastAsia="Times New Roman" w:hAnsi="Calibri" w:cs="Calibri"/>
          <w:color w:val="000000"/>
        </w:rPr>
        <w:t>. 3</w:t>
      </w:r>
      <w:r w:rsidR="00B11A9A">
        <w:rPr>
          <w:rFonts w:ascii="Calibri" w:eastAsia="Times New Roman" w:hAnsi="Calibri" w:cs="Calibri"/>
          <w:color w:val="000000"/>
        </w:rPr>
        <w:t>7</w:t>
      </w:r>
      <w:r w:rsidR="00BC28A1">
        <w:rPr>
          <w:rFonts w:ascii="Calibri" w:eastAsia="Times New Roman" w:hAnsi="Calibri" w:cs="Calibri"/>
          <w:color w:val="000000"/>
        </w:rPr>
        <w:t xml:space="preserve"> </w:t>
      </w:r>
      <w:r w:rsidR="00974B27">
        <w:rPr>
          <w:rFonts w:ascii="Calibri" w:eastAsia="Times New Roman" w:hAnsi="Calibri" w:cs="Calibri"/>
          <w:color w:val="000000"/>
        </w:rPr>
        <w:t>prosent</w:t>
      </w:r>
      <w:r w:rsidR="004F0F25" w:rsidRPr="004F0F25">
        <w:rPr>
          <w:rFonts w:ascii="Calibri" w:eastAsia="Times New Roman" w:hAnsi="Calibri" w:cs="Calibri"/>
          <w:color w:val="000000"/>
        </w:rPr>
        <w:t xml:space="preserve"> av doktorgradsårsverkene og 48</w:t>
      </w:r>
      <w:r w:rsidR="00974B27">
        <w:rPr>
          <w:rFonts w:ascii="Calibri" w:eastAsia="Times New Roman" w:hAnsi="Calibri" w:cs="Calibri"/>
          <w:color w:val="000000"/>
        </w:rPr>
        <w:t xml:space="preserve"> prosent </w:t>
      </w:r>
      <w:r w:rsidR="004F0F25" w:rsidRPr="004F0F25">
        <w:rPr>
          <w:rFonts w:ascii="Calibri" w:eastAsia="Times New Roman" w:hAnsi="Calibri" w:cs="Calibri"/>
          <w:color w:val="000000"/>
        </w:rPr>
        <w:t xml:space="preserve">av postdoktorårsverkene ble finansiert gjennom disse ordningene. </w:t>
      </w:r>
    </w:p>
    <w:p w14:paraId="7E35DC05" w14:textId="77777777" w:rsidR="00A47159" w:rsidRDefault="00A47159" w:rsidP="002B33A3">
      <w:pPr>
        <w:spacing w:line="240" w:lineRule="auto"/>
        <w:textAlignment w:val="baseline"/>
        <w:rPr>
          <w:rFonts w:ascii="Calibri" w:eastAsia="Times New Roman" w:hAnsi="Calibri" w:cs="Calibri"/>
          <w:b/>
          <w:bCs/>
          <w:i/>
          <w:iCs/>
          <w:color w:val="000000"/>
        </w:rPr>
      </w:pPr>
    </w:p>
    <w:p w14:paraId="5D80FBCA" w14:textId="60803B6D" w:rsidR="004F0F25" w:rsidRPr="00287337" w:rsidRDefault="004F0F25" w:rsidP="00287337">
      <w:pPr>
        <w:spacing w:after="200" w:line="276" w:lineRule="auto"/>
        <w:rPr>
          <w:rFonts w:ascii="Calibri" w:eastAsia="Times New Roman" w:hAnsi="Calibri" w:cs="Calibri"/>
          <w:b/>
          <w:bCs/>
          <w:i/>
          <w:iCs/>
          <w:color w:val="000000"/>
        </w:rPr>
      </w:pPr>
      <w:r w:rsidRPr="004F0F25">
        <w:rPr>
          <w:rFonts w:ascii="Calibri" w:eastAsia="Times New Roman" w:hAnsi="Calibri" w:cs="Calibri"/>
          <w:b/>
          <w:bCs/>
          <w:i/>
          <w:iCs/>
          <w:color w:val="000000"/>
        </w:rPr>
        <w:t>God kjønnsbalanse totalt, men store forskjeller mellom fagområder og hovedaktiviteter</w:t>
      </w:r>
      <w:r w:rsidRPr="004F0F25">
        <w:rPr>
          <w:rFonts w:ascii="Calibri" w:eastAsia="Times New Roman" w:hAnsi="Calibri" w:cs="Calibri"/>
          <w:color w:val="000000"/>
        </w:rPr>
        <w:t> </w:t>
      </w:r>
    </w:p>
    <w:p w14:paraId="4BB3B26F" w14:textId="09033311" w:rsidR="004F0F25" w:rsidRPr="004F0F25" w:rsidRDefault="0010094E"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Fo</w:t>
      </w:r>
      <w:r w:rsidR="004F0F25" w:rsidRPr="51D95B0C">
        <w:rPr>
          <w:rFonts w:ascii="Calibri" w:eastAsia="Times New Roman" w:hAnsi="Calibri" w:cs="Calibri"/>
          <w:color w:val="000000" w:themeColor="accent6"/>
        </w:rPr>
        <w:t xml:space="preserve">rskningsrådet har som mål å fremme kjønnsbalanse og kjønnsperspektiver i forskning og innovasjon. </w:t>
      </w:r>
      <w:r w:rsidR="00147C2D">
        <w:t>Et økende antall studier viser at et mangfold av perspektiver bidrar til økt kreativitet, vitenskapelig kvalitet og samfunnsmessig relevans.</w:t>
      </w:r>
      <w:r w:rsidR="004F0F25" w:rsidRPr="51D95B0C">
        <w:rPr>
          <w:rFonts w:ascii="Calibri" w:eastAsia="Times New Roman" w:hAnsi="Calibri" w:cs="Calibri"/>
          <w:color w:val="000000" w:themeColor="accent6"/>
        </w:rPr>
        <w:t> </w:t>
      </w:r>
      <w:r w:rsidR="00171A08">
        <w:rPr>
          <w:rFonts w:ascii="Calibri" w:eastAsia="Times New Roman" w:hAnsi="Calibri" w:cs="Calibri"/>
          <w:color w:val="000000" w:themeColor="accent6"/>
        </w:rPr>
        <w:t xml:space="preserve">Norge har forpliktet seg til å følge opp Det europeiske forskningsområdets (ERA) mål om å få flere kvinner i akademiske toppstillinger, bedre kjønnsbalanse </w:t>
      </w:r>
      <w:r w:rsidR="00491AB8">
        <w:rPr>
          <w:rFonts w:ascii="Calibri" w:eastAsia="Times New Roman" w:hAnsi="Calibri" w:cs="Calibri"/>
          <w:color w:val="000000" w:themeColor="accent6"/>
        </w:rPr>
        <w:t>i fag hvor enten menn eller kvinner er underrepresentert og styrke integreringen av kjønn som dimensjon i forskning og innovasjon</w:t>
      </w:r>
      <w:r w:rsidR="00910358">
        <w:rPr>
          <w:rStyle w:val="Fotnotereferanse"/>
          <w:rFonts w:ascii="Calibri" w:eastAsia="Times New Roman" w:hAnsi="Calibri" w:cs="Calibri"/>
          <w:color w:val="000000" w:themeColor="accent6"/>
        </w:rPr>
        <w:footnoteReference w:id="8"/>
      </w:r>
      <w:r w:rsidR="00491AB8">
        <w:rPr>
          <w:rFonts w:ascii="Calibri" w:eastAsia="Times New Roman" w:hAnsi="Calibri" w:cs="Calibri"/>
          <w:color w:val="000000" w:themeColor="accent6"/>
        </w:rPr>
        <w:t xml:space="preserve">.   </w:t>
      </w:r>
      <w:r w:rsidR="00171A08">
        <w:rPr>
          <w:rFonts w:ascii="Calibri" w:eastAsia="Times New Roman" w:hAnsi="Calibri" w:cs="Calibri"/>
          <w:color w:val="000000" w:themeColor="accent6"/>
        </w:rPr>
        <w:t xml:space="preserve"> </w:t>
      </w:r>
    </w:p>
    <w:p w14:paraId="47D1379F" w14:textId="777777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39773827" w14:textId="29F25569" w:rsidR="00354112" w:rsidRDefault="00354112" w:rsidP="00354112">
      <w:pPr>
        <w:spacing w:after="0" w:line="240" w:lineRule="auto"/>
        <w:textAlignment w:val="baseline"/>
        <w:rPr>
          <w:rFonts w:ascii="Calibri" w:eastAsia="Calibri" w:hAnsi="Calibri" w:cs="Calibri"/>
          <w:color w:val="000000" w:themeColor="accent6"/>
        </w:rPr>
      </w:pPr>
      <w:r>
        <w:rPr>
          <w:rFonts w:ascii="Calibri" w:eastAsia="Times New Roman" w:hAnsi="Calibri" w:cs="Calibri"/>
          <w:color w:val="000000" w:themeColor="accent6"/>
        </w:rPr>
        <w:t xml:space="preserve"> I 2019 var 55 prosent av doktorgradsstipendiatene på nasjonalt nivå kvinner og 45 prosent menn. </w:t>
      </w:r>
      <w:r w:rsidR="004F0F25" w:rsidRPr="43958642">
        <w:rPr>
          <w:rFonts w:ascii="Calibri" w:eastAsia="Times New Roman" w:hAnsi="Calibri" w:cs="Calibri"/>
          <w:color w:val="000000" w:themeColor="accent6"/>
        </w:rPr>
        <w:t>På postdoktornivå var kvinneandelen i 2019 på 49</w:t>
      </w:r>
      <w:r>
        <w:rPr>
          <w:rFonts w:ascii="Calibri" w:eastAsia="Times New Roman" w:hAnsi="Calibri" w:cs="Calibri"/>
          <w:color w:val="000000" w:themeColor="accent6"/>
        </w:rPr>
        <w:t xml:space="preserve"> prosent</w:t>
      </w:r>
      <w:r w:rsidR="00AB7648">
        <w:rPr>
          <w:rStyle w:val="Fotnotereferanse"/>
          <w:rFonts w:ascii="Calibri" w:eastAsia="Times New Roman" w:hAnsi="Calibri" w:cs="Calibri"/>
          <w:color w:val="000000" w:themeColor="accent6"/>
        </w:rPr>
        <w:footnoteReference w:id="9"/>
      </w:r>
      <w:r w:rsidR="00AB7648">
        <w:rPr>
          <w:rFonts w:ascii="Calibri" w:eastAsia="Times New Roman" w:hAnsi="Calibri" w:cs="Calibri"/>
          <w:color w:val="000000" w:themeColor="accent6"/>
        </w:rPr>
        <w:t xml:space="preserve">. </w:t>
      </w:r>
    </w:p>
    <w:p w14:paraId="1C7D1789" w14:textId="77777777" w:rsidR="00354112" w:rsidRDefault="00354112" w:rsidP="004F0F25">
      <w:pPr>
        <w:spacing w:after="0" w:line="240" w:lineRule="auto"/>
        <w:textAlignment w:val="baseline"/>
        <w:rPr>
          <w:rFonts w:ascii="Calibri" w:eastAsia="Times New Roman" w:hAnsi="Calibri" w:cs="Calibri"/>
          <w:color w:val="000000" w:themeColor="accent6"/>
        </w:rPr>
      </w:pPr>
    </w:p>
    <w:p w14:paraId="404FACCC" w14:textId="5989DAA6" w:rsidR="004F0F25" w:rsidRPr="004F0F25" w:rsidRDefault="004F0F25" w:rsidP="004F0F25">
      <w:pPr>
        <w:spacing w:after="0" w:line="240" w:lineRule="auto"/>
        <w:textAlignment w:val="baseline"/>
        <w:rPr>
          <w:rFonts w:ascii="Calibri" w:eastAsia="Times New Roman" w:hAnsi="Calibri" w:cs="Calibri"/>
          <w:color w:val="000000"/>
        </w:rPr>
      </w:pPr>
      <w:r w:rsidRPr="43958642">
        <w:rPr>
          <w:rFonts w:ascii="Calibri" w:eastAsia="Times New Roman" w:hAnsi="Calibri" w:cs="Calibri"/>
          <w:color w:val="000000" w:themeColor="accent6"/>
        </w:rPr>
        <w:t>Blant dem som Forskningsrådet finansierer, er kvinneandel</w:t>
      </w:r>
      <w:r w:rsidR="008D65AD">
        <w:rPr>
          <w:rFonts w:ascii="Calibri" w:eastAsia="Times New Roman" w:hAnsi="Calibri" w:cs="Calibri"/>
          <w:color w:val="000000" w:themeColor="accent6"/>
        </w:rPr>
        <w:t>en</w:t>
      </w:r>
      <w:r w:rsidRPr="43958642">
        <w:rPr>
          <w:rFonts w:ascii="Calibri" w:eastAsia="Times New Roman" w:hAnsi="Calibri" w:cs="Calibri"/>
          <w:color w:val="000000" w:themeColor="accent6"/>
        </w:rPr>
        <w:t xml:space="preserve"> noe lavere. I 202</w:t>
      </w:r>
      <w:r w:rsidR="0094633E">
        <w:rPr>
          <w:rFonts w:ascii="Calibri" w:eastAsia="Times New Roman" w:hAnsi="Calibri" w:cs="Calibri"/>
          <w:color w:val="000000" w:themeColor="accent6"/>
        </w:rPr>
        <w:t>1</w:t>
      </w:r>
      <w:r w:rsidRPr="43958642">
        <w:rPr>
          <w:rFonts w:ascii="Calibri" w:eastAsia="Times New Roman" w:hAnsi="Calibri" w:cs="Calibri"/>
          <w:color w:val="000000" w:themeColor="accent6"/>
        </w:rPr>
        <w:t xml:space="preserve"> var </w:t>
      </w:r>
      <w:r w:rsidR="008D65AD">
        <w:rPr>
          <w:rFonts w:ascii="Calibri" w:eastAsia="Times New Roman" w:hAnsi="Calibri" w:cs="Calibri"/>
          <w:color w:val="000000" w:themeColor="accent6"/>
        </w:rPr>
        <w:t xml:space="preserve">den </w:t>
      </w:r>
      <w:r w:rsidRPr="43958642">
        <w:rPr>
          <w:rFonts w:ascii="Calibri" w:eastAsia="Times New Roman" w:hAnsi="Calibri" w:cs="Calibri"/>
          <w:color w:val="000000" w:themeColor="accent6"/>
        </w:rPr>
        <w:t>på 4</w:t>
      </w:r>
      <w:r w:rsidR="0094633E">
        <w:rPr>
          <w:rFonts w:ascii="Calibri" w:eastAsia="Times New Roman" w:hAnsi="Calibri" w:cs="Calibri"/>
          <w:color w:val="000000" w:themeColor="accent6"/>
        </w:rPr>
        <w:t xml:space="preserve">4 prosent både på </w:t>
      </w:r>
      <w:r w:rsidRPr="43958642">
        <w:rPr>
          <w:rFonts w:ascii="Calibri" w:eastAsia="Times New Roman" w:hAnsi="Calibri" w:cs="Calibri"/>
          <w:color w:val="000000" w:themeColor="accent6"/>
        </w:rPr>
        <w:t>doktorgrads</w:t>
      </w:r>
      <w:r w:rsidR="0094633E">
        <w:rPr>
          <w:rFonts w:ascii="Calibri" w:eastAsia="Times New Roman" w:hAnsi="Calibri" w:cs="Calibri"/>
          <w:color w:val="000000" w:themeColor="accent6"/>
        </w:rPr>
        <w:t>nivå</w:t>
      </w:r>
      <w:r w:rsidRPr="43958642">
        <w:rPr>
          <w:rFonts w:ascii="Calibri" w:eastAsia="Times New Roman" w:hAnsi="Calibri" w:cs="Calibri"/>
          <w:color w:val="000000" w:themeColor="accent6"/>
        </w:rPr>
        <w:t xml:space="preserve"> og</w:t>
      </w:r>
      <w:r w:rsidR="0094633E">
        <w:rPr>
          <w:rFonts w:ascii="Calibri" w:eastAsia="Times New Roman" w:hAnsi="Calibri" w:cs="Calibri"/>
          <w:color w:val="000000" w:themeColor="accent6"/>
        </w:rPr>
        <w:t xml:space="preserve"> </w:t>
      </w:r>
      <w:r w:rsidRPr="43958642">
        <w:rPr>
          <w:rFonts w:ascii="Calibri" w:eastAsia="Times New Roman" w:hAnsi="Calibri" w:cs="Calibri"/>
          <w:color w:val="000000" w:themeColor="accent6"/>
        </w:rPr>
        <w:t xml:space="preserve">på postdoktornivå. Andelen kvinner på </w:t>
      </w:r>
      <w:r w:rsidR="0094633E">
        <w:rPr>
          <w:rFonts w:ascii="Calibri" w:eastAsia="Times New Roman" w:hAnsi="Calibri" w:cs="Calibri"/>
          <w:color w:val="000000" w:themeColor="accent6"/>
        </w:rPr>
        <w:t xml:space="preserve">begge nivå er </w:t>
      </w:r>
      <w:r w:rsidRPr="43958642">
        <w:rPr>
          <w:rFonts w:ascii="Calibri" w:eastAsia="Times New Roman" w:hAnsi="Calibri" w:cs="Calibri"/>
          <w:color w:val="000000" w:themeColor="accent6"/>
        </w:rPr>
        <w:t>uendret siden 201</w:t>
      </w:r>
      <w:r w:rsidR="0094633E">
        <w:rPr>
          <w:rFonts w:ascii="Calibri" w:eastAsia="Times New Roman" w:hAnsi="Calibri" w:cs="Calibri"/>
          <w:color w:val="000000" w:themeColor="accent6"/>
        </w:rPr>
        <w:t>2</w:t>
      </w:r>
      <w:r w:rsidR="001819D2">
        <w:rPr>
          <w:rFonts w:ascii="Calibri" w:eastAsia="Times New Roman" w:hAnsi="Calibri" w:cs="Calibri"/>
          <w:color w:val="000000" w:themeColor="accent6"/>
        </w:rPr>
        <w:t xml:space="preserve">. </w:t>
      </w:r>
      <w:r w:rsidRPr="43958642">
        <w:rPr>
          <w:rFonts w:ascii="Calibri" w:eastAsia="Times New Roman" w:hAnsi="Calibri" w:cs="Calibri"/>
          <w:color w:val="000000" w:themeColor="accent6"/>
        </w:rPr>
        <w:t>  </w:t>
      </w:r>
    </w:p>
    <w:p w14:paraId="1F658726" w14:textId="0F307951" w:rsidR="00097128"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2A5EADD9" w14:textId="77777777" w:rsidR="005F7C67" w:rsidRDefault="005F7C67" w:rsidP="00F3049E">
      <w:pPr>
        <w:spacing w:after="0" w:line="240" w:lineRule="auto"/>
        <w:textAlignment w:val="baseline"/>
        <w:rPr>
          <w:rFonts w:ascii="Calibri" w:eastAsia="Times New Roman" w:hAnsi="Calibri" w:cs="Calibri"/>
          <w:color w:val="000000" w:themeColor="accent6"/>
          <w:sz w:val="18"/>
          <w:szCs w:val="18"/>
        </w:rPr>
      </w:pPr>
    </w:p>
    <w:p w14:paraId="06A7270D" w14:textId="1563A286" w:rsidR="0010094E" w:rsidRDefault="00B77DF5" w:rsidP="00F3049E">
      <w:pPr>
        <w:spacing w:after="0" w:line="240" w:lineRule="auto"/>
        <w:textAlignment w:val="baseline"/>
        <w:rPr>
          <w:rFonts w:ascii="Calibri" w:eastAsia="Times New Roman" w:hAnsi="Calibri" w:cs="Calibri"/>
          <w:color w:val="000000" w:themeColor="accent6"/>
          <w:sz w:val="18"/>
          <w:szCs w:val="18"/>
        </w:rPr>
      </w:pPr>
      <w:r w:rsidRPr="00B77DF5">
        <w:rPr>
          <w:rFonts w:ascii="Calibri" w:eastAsia="Times New Roman" w:hAnsi="Calibri" w:cs="Calibri"/>
          <w:color w:val="000000" w:themeColor="accent6"/>
          <w:sz w:val="18"/>
          <w:szCs w:val="18"/>
        </w:rPr>
        <w:lastRenderedPageBreak/>
        <w:t xml:space="preserve">Figur </w:t>
      </w:r>
      <w:r w:rsidR="00287337">
        <w:rPr>
          <w:rFonts w:ascii="Calibri" w:eastAsia="Times New Roman" w:hAnsi="Calibri" w:cs="Calibri"/>
          <w:color w:val="000000" w:themeColor="accent6"/>
          <w:sz w:val="18"/>
          <w:szCs w:val="18"/>
        </w:rPr>
        <w:t>4</w:t>
      </w:r>
      <w:r w:rsidR="00910358">
        <w:rPr>
          <w:rFonts w:ascii="Calibri" w:eastAsia="Times New Roman" w:hAnsi="Calibri" w:cs="Calibri"/>
          <w:color w:val="000000" w:themeColor="accent6"/>
          <w:sz w:val="18"/>
          <w:szCs w:val="18"/>
        </w:rPr>
        <w:t>.</w:t>
      </w:r>
      <w:r w:rsidR="00941127">
        <w:rPr>
          <w:rFonts w:ascii="Calibri" w:eastAsia="Times New Roman" w:hAnsi="Calibri" w:cs="Calibri"/>
          <w:color w:val="000000" w:themeColor="accent6"/>
          <w:sz w:val="18"/>
          <w:szCs w:val="18"/>
        </w:rPr>
        <w:t xml:space="preserve">3 </w:t>
      </w:r>
      <w:r w:rsidR="00F3049E">
        <w:rPr>
          <w:rFonts w:ascii="Calibri" w:eastAsia="Times New Roman" w:hAnsi="Calibri" w:cs="Calibri"/>
          <w:color w:val="000000" w:themeColor="accent6"/>
          <w:sz w:val="18"/>
          <w:szCs w:val="18"/>
        </w:rPr>
        <w:t>Doktorgradsårsverk fordelt på kjønn i perioden 2019-2021</w:t>
      </w:r>
      <w:r w:rsidR="00881062">
        <w:rPr>
          <w:rFonts w:ascii="Calibri" w:eastAsia="Times New Roman" w:hAnsi="Calibri" w:cs="Calibri"/>
          <w:color w:val="000000" w:themeColor="accent6"/>
          <w:sz w:val="18"/>
          <w:szCs w:val="18"/>
        </w:rPr>
        <w:t>.</w:t>
      </w:r>
    </w:p>
    <w:p w14:paraId="0DA75C8A" w14:textId="5BCE3CF3" w:rsidR="004970BB" w:rsidRDefault="00EA7544" w:rsidP="00F3049E">
      <w:pPr>
        <w:spacing w:after="0" w:line="240" w:lineRule="auto"/>
        <w:textAlignment w:val="baseline"/>
        <w:rPr>
          <w:rFonts w:ascii="Calibri" w:eastAsia="Times New Roman" w:hAnsi="Calibri" w:cs="Calibri"/>
          <w:color w:val="000000" w:themeColor="accent6"/>
          <w:sz w:val="18"/>
          <w:szCs w:val="18"/>
        </w:rPr>
      </w:pPr>
      <w:r>
        <w:rPr>
          <w:noProof/>
        </w:rPr>
        <w:drawing>
          <wp:inline distT="0" distB="0" distL="0" distR="0" wp14:anchorId="1205222D" wp14:editId="2685CE52">
            <wp:extent cx="6038850" cy="4024630"/>
            <wp:effectExtent l="0" t="0" r="0" b="13970"/>
            <wp:docPr id="1" name="Diagram 1">
              <a:extLst xmlns:a="http://schemas.openxmlformats.org/drawingml/2006/main">
                <a:ext uri="{FF2B5EF4-FFF2-40B4-BE49-F238E27FC236}">
                  <a16:creationId xmlns:a16="http://schemas.microsoft.com/office/drawing/2014/main" id="{74C15073-52DB-49AA-AF67-3D5709BBC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CB8C57" w14:textId="77777777" w:rsidR="004970BB" w:rsidRPr="00F0380E" w:rsidRDefault="004970BB" w:rsidP="004970BB">
      <w:pPr>
        <w:spacing w:after="0" w:line="240" w:lineRule="auto"/>
        <w:textAlignment w:val="baseline"/>
        <w:rPr>
          <w:rFonts w:ascii="Calibri" w:eastAsia="Times New Roman" w:hAnsi="Calibri" w:cs="Calibri"/>
          <w:color w:val="000000" w:themeColor="accent6"/>
          <w:sz w:val="18"/>
          <w:szCs w:val="18"/>
        </w:rPr>
      </w:pPr>
      <w:r w:rsidRPr="00F0380E">
        <w:rPr>
          <w:rFonts w:ascii="Calibri" w:eastAsia="Times New Roman" w:hAnsi="Calibri" w:cs="Calibri"/>
          <w:color w:val="000000" w:themeColor="accent6"/>
          <w:sz w:val="18"/>
          <w:szCs w:val="18"/>
        </w:rPr>
        <w:t>Kilde: Forskningsrådet</w:t>
      </w:r>
      <w:r>
        <w:rPr>
          <w:rFonts w:ascii="Calibri" w:eastAsia="Times New Roman" w:hAnsi="Calibri" w:cs="Calibri"/>
          <w:color w:val="000000" w:themeColor="accent6"/>
          <w:sz w:val="18"/>
          <w:szCs w:val="18"/>
        </w:rPr>
        <w:t>.</w:t>
      </w:r>
    </w:p>
    <w:p w14:paraId="5AEFC277" w14:textId="3B044026" w:rsidR="004970BB" w:rsidRDefault="004970BB" w:rsidP="00F3049E">
      <w:pPr>
        <w:spacing w:after="0" w:line="240" w:lineRule="auto"/>
        <w:textAlignment w:val="baseline"/>
        <w:rPr>
          <w:rFonts w:ascii="Calibri" w:eastAsia="Times New Roman" w:hAnsi="Calibri" w:cs="Calibri"/>
          <w:color w:val="000000" w:themeColor="accent6"/>
          <w:sz w:val="18"/>
          <w:szCs w:val="18"/>
        </w:rPr>
      </w:pPr>
    </w:p>
    <w:p w14:paraId="1026C9AB" w14:textId="134C225B" w:rsidR="004F0F25" w:rsidRPr="004F0F25" w:rsidRDefault="004F0F25" w:rsidP="004F0F25">
      <w:pPr>
        <w:spacing w:after="0" w:line="240" w:lineRule="auto"/>
        <w:textAlignment w:val="baseline"/>
        <w:rPr>
          <w:rFonts w:ascii="Calibri" w:eastAsia="Times New Roman" w:hAnsi="Calibri" w:cs="Calibri"/>
          <w:color w:val="000000"/>
        </w:rPr>
      </w:pPr>
      <w:r w:rsidRPr="43958642">
        <w:rPr>
          <w:rFonts w:ascii="Calibri" w:eastAsia="Times New Roman" w:hAnsi="Calibri" w:cs="Calibri"/>
          <w:color w:val="000000" w:themeColor="accent6"/>
        </w:rPr>
        <w:t xml:space="preserve">Forskningsrådet har en relativt god kjønnsbalanse </w:t>
      </w:r>
      <w:r w:rsidR="00FD713C">
        <w:rPr>
          <w:rFonts w:ascii="Calibri" w:eastAsia="Times New Roman" w:hAnsi="Calibri" w:cs="Calibri"/>
          <w:color w:val="000000" w:themeColor="accent6"/>
        </w:rPr>
        <w:t>i rekruttering</w:t>
      </w:r>
      <w:r w:rsidR="009320F3">
        <w:rPr>
          <w:rFonts w:ascii="Calibri" w:eastAsia="Times New Roman" w:hAnsi="Calibri" w:cs="Calibri"/>
          <w:color w:val="000000" w:themeColor="accent6"/>
        </w:rPr>
        <w:t>s</w:t>
      </w:r>
      <w:r w:rsidR="004C5D94">
        <w:rPr>
          <w:rFonts w:ascii="Calibri" w:eastAsia="Times New Roman" w:hAnsi="Calibri" w:cs="Calibri"/>
          <w:color w:val="000000" w:themeColor="accent6"/>
        </w:rPr>
        <w:t>årsverkene</w:t>
      </w:r>
      <w:r w:rsidR="00FD713C">
        <w:rPr>
          <w:rFonts w:ascii="Calibri" w:eastAsia="Times New Roman" w:hAnsi="Calibri" w:cs="Calibri"/>
          <w:color w:val="000000" w:themeColor="accent6"/>
        </w:rPr>
        <w:t xml:space="preserve"> </w:t>
      </w:r>
      <w:r w:rsidRPr="43958642">
        <w:rPr>
          <w:rFonts w:ascii="Calibri" w:eastAsia="Times New Roman" w:hAnsi="Calibri" w:cs="Calibri"/>
          <w:color w:val="000000" w:themeColor="accent6"/>
        </w:rPr>
        <w:t>totalt sett, men innenfor sentrene og store programmer</w:t>
      </w:r>
      <w:r w:rsidR="00AE76A7">
        <w:rPr>
          <w:rFonts w:ascii="Calibri" w:eastAsia="Times New Roman" w:hAnsi="Calibri" w:cs="Calibri"/>
          <w:color w:val="000000" w:themeColor="accent6"/>
        </w:rPr>
        <w:t xml:space="preserve"> som </w:t>
      </w:r>
      <w:r w:rsidRPr="43958642">
        <w:rPr>
          <w:rFonts w:ascii="Calibri" w:eastAsia="Times New Roman" w:hAnsi="Calibri" w:cs="Calibri"/>
          <w:color w:val="000000" w:themeColor="accent6"/>
        </w:rPr>
        <w:t xml:space="preserve">finansier flest stipendiatårsverk er kvinneandelen lavere. Dette kan forklares med at mange av prosjektene er teknisk-naturvitenskapelige og næringslivsrettede. Disse </w:t>
      </w:r>
      <w:r w:rsidR="00F84DC4">
        <w:rPr>
          <w:rFonts w:ascii="Calibri" w:eastAsia="Times New Roman" w:hAnsi="Calibri" w:cs="Calibri"/>
          <w:color w:val="000000" w:themeColor="accent6"/>
        </w:rPr>
        <w:t>o</w:t>
      </w:r>
      <w:r w:rsidRPr="43958642">
        <w:rPr>
          <w:rFonts w:ascii="Calibri" w:eastAsia="Times New Roman" w:hAnsi="Calibri" w:cs="Calibri"/>
          <w:color w:val="000000" w:themeColor="accent6"/>
        </w:rPr>
        <w:t xml:space="preserve">mrådene har tradisjonelt en lavere kvinneandel. Dette er en kjønnsfordeling knyttet til fagområder og sektor, som vi også finner på nasjonalt </w:t>
      </w:r>
      <w:r w:rsidRPr="43958642" w:rsidDel="007B4F6F">
        <w:rPr>
          <w:rFonts w:ascii="Calibri" w:eastAsia="Times New Roman" w:hAnsi="Calibri" w:cs="Calibri"/>
          <w:color w:val="000000" w:themeColor="accent6"/>
        </w:rPr>
        <w:t>nivå</w:t>
      </w:r>
      <w:r w:rsidR="007B4F6F" w:rsidRPr="43958642">
        <w:rPr>
          <w:rFonts w:ascii="Calibri" w:eastAsia="Times New Roman" w:hAnsi="Calibri" w:cs="Calibri"/>
          <w:color w:val="000000" w:themeColor="accent6"/>
        </w:rPr>
        <w:t>,</w:t>
      </w:r>
      <w:r w:rsidRPr="43958642">
        <w:rPr>
          <w:rFonts w:ascii="Calibri" w:eastAsia="Times New Roman" w:hAnsi="Calibri" w:cs="Calibri"/>
          <w:color w:val="000000" w:themeColor="accent6"/>
        </w:rPr>
        <w:t xml:space="preserve"> men som gjør seg sterkere gjeldende i Forskningsrådets virkemidler. </w:t>
      </w:r>
    </w:p>
    <w:p w14:paraId="3D6D1D73" w14:textId="6081AB65" w:rsidR="00F84DC4" w:rsidRDefault="00F84DC4" w:rsidP="004F0F25">
      <w:pPr>
        <w:spacing w:after="0" w:line="240" w:lineRule="auto"/>
        <w:textAlignment w:val="baseline"/>
        <w:rPr>
          <w:rFonts w:ascii="Calibri" w:eastAsia="Times New Roman" w:hAnsi="Calibri" w:cs="Calibri"/>
          <w:color w:val="000000"/>
        </w:rPr>
      </w:pPr>
    </w:p>
    <w:p w14:paraId="69992618" w14:textId="45CAB192" w:rsidR="0019290B" w:rsidRDefault="0019290B" w:rsidP="004F0F25">
      <w:pPr>
        <w:spacing w:after="0" w:line="240" w:lineRule="auto"/>
        <w:textAlignment w:val="baseline"/>
        <w:rPr>
          <w:rFonts w:ascii="Calibri" w:eastAsia="Times New Roman" w:hAnsi="Calibri" w:cs="Calibri"/>
          <w:b/>
          <w:bCs/>
          <w:i/>
          <w:iCs/>
          <w:color w:val="000000"/>
        </w:rPr>
      </w:pPr>
      <w:bookmarkStart w:id="6" w:name="_Hlk103171381"/>
      <w:r w:rsidRPr="00C077B0">
        <w:rPr>
          <w:rFonts w:ascii="Calibri" w:eastAsia="Times New Roman" w:hAnsi="Calibri" w:cs="Calibri"/>
          <w:b/>
          <w:bCs/>
          <w:i/>
          <w:iCs/>
          <w:color w:val="000000"/>
        </w:rPr>
        <w:t>Nasjonale forskerskoler</w:t>
      </w:r>
      <w:r w:rsidR="00910358">
        <w:rPr>
          <w:rFonts w:ascii="Calibri" w:eastAsia="Times New Roman" w:hAnsi="Calibri" w:cs="Calibri"/>
          <w:b/>
          <w:bCs/>
          <w:i/>
          <w:iCs/>
          <w:color w:val="000000"/>
        </w:rPr>
        <w:t xml:space="preserve"> </w:t>
      </w:r>
      <w:r w:rsidR="00B40F9B">
        <w:rPr>
          <w:rFonts w:ascii="Calibri" w:eastAsia="Times New Roman" w:hAnsi="Calibri" w:cs="Calibri"/>
          <w:b/>
          <w:bCs/>
          <w:i/>
          <w:iCs/>
          <w:color w:val="000000"/>
        </w:rPr>
        <w:t>gir kvalitet og samarbeid</w:t>
      </w:r>
    </w:p>
    <w:bookmarkEnd w:id="6"/>
    <w:p w14:paraId="5A05BDF9" w14:textId="7CD9D541" w:rsidR="00CD4E5E" w:rsidRDefault="00CD4E5E" w:rsidP="00CD4E5E">
      <w:r w:rsidRPr="00C077B0">
        <w:rPr>
          <w:rFonts w:ascii="Calibri" w:eastAsia="Times New Roman" w:hAnsi="Calibri" w:cs="Calibri"/>
          <w:color w:val="000000" w:themeColor="accent6"/>
        </w:rPr>
        <w:t xml:space="preserve">Satsingen </w:t>
      </w:r>
      <w:r w:rsidR="00242647">
        <w:rPr>
          <w:rFonts w:ascii="Calibri" w:eastAsia="Times New Roman" w:hAnsi="Calibri" w:cs="Calibri"/>
          <w:i/>
          <w:iCs/>
          <w:color w:val="000000" w:themeColor="accent6"/>
        </w:rPr>
        <w:t>N</w:t>
      </w:r>
      <w:r w:rsidRPr="00B836B2">
        <w:rPr>
          <w:rFonts w:ascii="Calibri" w:eastAsia="Times New Roman" w:hAnsi="Calibri" w:cs="Calibri"/>
          <w:i/>
          <w:iCs/>
          <w:color w:val="000000" w:themeColor="accent6"/>
        </w:rPr>
        <w:t>asjonale forskerskoler</w:t>
      </w:r>
      <w:r w:rsidRPr="00C077B0">
        <w:rPr>
          <w:rFonts w:ascii="Calibri" w:eastAsia="Times New Roman" w:hAnsi="Calibri" w:cs="Calibri"/>
          <w:color w:val="000000" w:themeColor="accent6"/>
        </w:rPr>
        <w:t xml:space="preserve"> ble etablert i 2008 og har </w:t>
      </w:r>
      <w:r w:rsidR="00770A01">
        <w:rPr>
          <w:rFonts w:ascii="Calibri" w:eastAsia="Times New Roman" w:hAnsi="Calibri" w:cs="Calibri"/>
          <w:color w:val="000000" w:themeColor="accent6"/>
        </w:rPr>
        <w:t>som</w:t>
      </w:r>
      <w:r w:rsidR="00770A01" w:rsidRPr="00C077B0">
        <w:rPr>
          <w:rFonts w:ascii="Calibri" w:eastAsia="Times New Roman" w:hAnsi="Calibri" w:cs="Calibri"/>
          <w:color w:val="000000" w:themeColor="accent6"/>
        </w:rPr>
        <w:t xml:space="preserve"> </w:t>
      </w:r>
      <w:r w:rsidRPr="00C077B0">
        <w:rPr>
          <w:rFonts w:ascii="Calibri" w:eastAsia="Times New Roman" w:hAnsi="Calibri" w:cs="Calibri"/>
          <w:color w:val="000000" w:themeColor="accent6"/>
        </w:rPr>
        <w:t>mål å styrke kvalitet og relevans i</w:t>
      </w:r>
      <w:r>
        <w:t xml:space="preserve"> doktorgradsutdanningen over hele landet gjennom samarbeid i nettverk. </w:t>
      </w:r>
      <w:r w:rsidR="00C077B0">
        <w:t xml:space="preserve">Siden </w:t>
      </w:r>
      <w:r>
        <w:t>ordningen ble etablert har det vært gjennomført fire utlysninger; i 2008, 2012, 2015 og 2021. Gjennom disse utlysningene er det</w:t>
      </w:r>
      <w:r w:rsidDel="00770A01">
        <w:t xml:space="preserve"> </w:t>
      </w:r>
      <w:r>
        <w:t>til sammen</w:t>
      </w:r>
      <w:r w:rsidDel="00770A01">
        <w:t xml:space="preserve"> </w:t>
      </w:r>
      <w:r>
        <w:t xml:space="preserve">bevilget midler til 34 forskerskoler. </w:t>
      </w:r>
      <w:r w:rsidR="00CD32D3">
        <w:t>Utenom dette er det</w:t>
      </w:r>
      <w:r>
        <w:t xml:space="preserve"> etablert flere forskerskoler innenfor </w:t>
      </w:r>
      <w:r w:rsidR="00CD32D3">
        <w:t xml:space="preserve">rammen av </w:t>
      </w:r>
      <w:r>
        <w:t xml:space="preserve">de enkelte budsjettformål. </w:t>
      </w:r>
    </w:p>
    <w:p w14:paraId="2955E8BA" w14:textId="27DF81C4" w:rsidR="00CD4E5E" w:rsidRDefault="00CD4E5E" w:rsidP="00CD4E5E">
      <w:r>
        <w:t xml:space="preserve">I 2021 var det 18 aktive forskerskoler. I 2022 er 12 nye forskerskoler under etablering. </w:t>
      </w:r>
    </w:p>
    <w:p w14:paraId="4482161E" w14:textId="777635F7" w:rsidR="00A61C28" w:rsidRPr="00A61C28" w:rsidRDefault="00A61C28" w:rsidP="00A61C28">
      <w:pPr>
        <w:spacing w:after="0" w:line="240" w:lineRule="auto"/>
        <w:textAlignment w:val="baseline"/>
        <w:rPr>
          <w:rFonts w:ascii="Calibri" w:eastAsia="Times New Roman" w:hAnsi="Calibri" w:cs="Calibri"/>
          <w:color w:val="000000" w:themeColor="accent6"/>
          <w:sz w:val="18"/>
          <w:szCs w:val="18"/>
        </w:rPr>
      </w:pPr>
      <w:r w:rsidRPr="00A61C28">
        <w:rPr>
          <w:rFonts w:ascii="Calibri" w:eastAsia="Times New Roman" w:hAnsi="Calibri" w:cs="Calibri"/>
          <w:color w:val="000000" w:themeColor="accent6"/>
          <w:sz w:val="18"/>
          <w:szCs w:val="18"/>
        </w:rPr>
        <w:t>Tabell 2: Antall forskerskoler bevilget</w:t>
      </w:r>
      <w:r w:rsidR="00F42ADC">
        <w:rPr>
          <w:rStyle w:val="Fotnotereferanse"/>
          <w:rFonts w:ascii="Calibri" w:eastAsia="Times New Roman" w:hAnsi="Calibri" w:cs="Calibri"/>
          <w:color w:val="000000" w:themeColor="accent6"/>
          <w:sz w:val="18"/>
          <w:szCs w:val="18"/>
        </w:rPr>
        <w:footnoteReference w:id="10"/>
      </w:r>
    </w:p>
    <w:tbl>
      <w:tblPr>
        <w:tblStyle w:val="Tabellrutenett"/>
        <w:tblpPr w:leftFromText="180" w:rightFromText="180" w:vertAnchor="text" w:tblpY="1"/>
        <w:tblOverlap w:val="never"/>
        <w:tblW w:w="0" w:type="auto"/>
        <w:tblLook w:val="04A0" w:firstRow="1" w:lastRow="0" w:firstColumn="1" w:lastColumn="0" w:noHBand="0" w:noVBand="1"/>
      </w:tblPr>
      <w:tblGrid>
        <w:gridCol w:w="889"/>
        <w:gridCol w:w="949"/>
      </w:tblGrid>
      <w:tr w:rsidR="00CD4E5E" w:rsidRPr="0099319D" w14:paraId="7E99FF6C" w14:textId="77777777" w:rsidTr="505B6C1C">
        <w:trPr>
          <w:trHeight w:val="411"/>
        </w:trPr>
        <w:tc>
          <w:tcPr>
            <w:tcW w:w="889" w:type="dxa"/>
          </w:tcPr>
          <w:p w14:paraId="5FCDF74B" w14:textId="77777777" w:rsidR="00CD4E5E" w:rsidRPr="0099319D" w:rsidRDefault="00CD4E5E" w:rsidP="004736BE">
            <w:pPr>
              <w:pStyle w:val="Ingenmellomrom"/>
              <w:rPr>
                <w:b/>
                <w:bCs/>
              </w:rPr>
            </w:pPr>
            <w:r w:rsidRPr="0099319D">
              <w:rPr>
                <w:b/>
                <w:bCs/>
              </w:rPr>
              <w:t>År</w:t>
            </w:r>
            <w:r>
              <w:rPr>
                <w:b/>
                <w:bCs/>
              </w:rPr>
              <w:t xml:space="preserve"> utlyst</w:t>
            </w:r>
          </w:p>
        </w:tc>
        <w:tc>
          <w:tcPr>
            <w:tcW w:w="812" w:type="dxa"/>
          </w:tcPr>
          <w:p w14:paraId="7B94DC46" w14:textId="77777777" w:rsidR="00CD4E5E" w:rsidRDefault="00CD4E5E" w:rsidP="004736BE">
            <w:pPr>
              <w:pStyle w:val="Ingenmellomrom"/>
              <w:rPr>
                <w:b/>
                <w:bCs/>
              </w:rPr>
            </w:pPr>
            <w:r w:rsidRPr="0099319D">
              <w:rPr>
                <w:b/>
                <w:bCs/>
              </w:rPr>
              <w:t>Antall</w:t>
            </w:r>
          </w:p>
          <w:p w14:paraId="18D35614" w14:textId="77777777" w:rsidR="00CD4E5E" w:rsidRPr="0099319D" w:rsidRDefault="00CD4E5E" w:rsidP="004736BE">
            <w:pPr>
              <w:pStyle w:val="Ingenmellomrom"/>
              <w:rPr>
                <w:b/>
                <w:bCs/>
              </w:rPr>
            </w:pPr>
            <w:r>
              <w:rPr>
                <w:b/>
                <w:bCs/>
              </w:rPr>
              <w:t>bevilget</w:t>
            </w:r>
          </w:p>
        </w:tc>
      </w:tr>
      <w:tr w:rsidR="00CD4E5E" w14:paraId="6E5086DE" w14:textId="77777777" w:rsidTr="505B6C1C">
        <w:trPr>
          <w:trHeight w:val="419"/>
        </w:trPr>
        <w:tc>
          <w:tcPr>
            <w:tcW w:w="889" w:type="dxa"/>
          </w:tcPr>
          <w:p w14:paraId="74E8E158" w14:textId="77777777" w:rsidR="00CD4E5E" w:rsidRDefault="00CD4E5E" w:rsidP="004736BE">
            <w:pPr>
              <w:pStyle w:val="Ingenmellomrom"/>
            </w:pPr>
            <w:r>
              <w:t>2008</w:t>
            </w:r>
          </w:p>
        </w:tc>
        <w:tc>
          <w:tcPr>
            <w:tcW w:w="812" w:type="dxa"/>
          </w:tcPr>
          <w:p w14:paraId="2519EAC6" w14:textId="77777777" w:rsidR="00CD4E5E" w:rsidRDefault="00CD4E5E" w:rsidP="004736BE">
            <w:pPr>
              <w:pStyle w:val="Ingenmellomrom"/>
              <w:jc w:val="right"/>
            </w:pPr>
            <w:r>
              <w:t>5</w:t>
            </w:r>
          </w:p>
        </w:tc>
      </w:tr>
      <w:tr w:rsidR="00CD4E5E" w14:paraId="63A2C7C1" w14:textId="77777777" w:rsidTr="505B6C1C">
        <w:trPr>
          <w:trHeight w:val="411"/>
        </w:trPr>
        <w:tc>
          <w:tcPr>
            <w:tcW w:w="889" w:type="dxa"/>
          </w:tcPr>
          <w:p w14:paraId="2252E3CB" w14:textId="77777777" w:rsidR="00CD4E5E" w:rsidRDefault="00CD4E5E" w:rsidP="004736BE">
            <w:pPr>
              <w:pStyle w:val="Ingenmellomrom"/>
            </w:pPr>
            <w:r>
              <w:t>2012</w:t>
            </w:r>
          </w:p>
        </w:tc>
        <w:tc>
          <w:tcPr>
            <w:tcW w:w="812" w:type="dxa"/>
          </w:tcPr>
          <w:p w14:paraId="60F9A103" w14:textId="77777777" w:rsidR="00CD4E5E" w:rsidRDefault="00CD4E5E" w:rsidP="004736BE">
            <w:pPr>
              <w:pStyle w:val="Ingenmellomrom"/>
              <w:jc w:val="right"/>
            </w:pPr>
            <w:r>
              <w:t>10</w:t>
            </w:r>
          </w:p>
        </w:tc>
      </w:tr>
      <w:tr w:rsidR="00CD4E5E" w14:paraId="2DA2075F" w14:textId="77777777" w:rsidTr="505B6C1C">
        <w:trPr>
          <w:trHeight w:val="411"/>
        </w:trPr>
        <w:tc>
          <w:tcPr>
            <w:tcW w:w="889" w:type="dxa"/>
          </w:tcPr>
          <w:p w14:paraId="76D624E1" w14:textId="77777777" w:rsidR="00CD4E5E" w:rsidRDefault="00CD4E5E" w:rsidP="004736BE">
            <w:pPr>
              <w:pStyle w:val="Ingenmellomrom"/>
            </w:pPr>
            <w:r>
              <w:lastRenderedPageBreak/>
              <w:t>2013</w:t>
            </w:r>
          </w:p>
        </w:tc>
        <w:tc>
          <w:tcPr>
            <w:tcW w:w="812" w:type="dxa"/>
          </w:tcPr>
          <w:p w14:paraId="1051CFEA" w14:textId="77777777" w:rsidR="00CD4E5E" w:rsidRDefault="00CD4E5E" w:rsidP="004736BE">
            <w:pPr>
              <w:pStyle w:val="Ingenmellomrom"/>
              <w:jc w:val="right"/>
            </w:pPr>
            <w:r>
              <w:t>7</w:t>
            </w:r>
          </w:p>
        </w:tc>
      </w:tr>
      <w:tr w:rsidR="00CD4E5E" w14:paraId="4A165C02" w14:textId="77777777" w:rsidTr="505B6C1C">
        <w:trPr>
          <w:trHeight w:val="411"/>
        </w:trPr>
        <w:tc>
          <w:tcPr>
            <w:tcW w:w="889" w:type="dxa"/>
          </w:tcPr>
          <w:p w14:paraId="3C01864D" w14:textId="77777777" w:rsidR="00CD4E5E" w:rsidRDefault="00CD4E5E" w:rsidP="004736BE">
            <w:pPr>
              <w:pStyle w:val="Ingenmellomrom"/>
            </w:pPr>
            <w:r>
              <w:t>2021</w:t>
            </w:r>
          </w:p>
        </w:tc>
        <w:tc>
          <w:tcPr>
            <w:tcW w:w="812" w:type="dxa"/>
          </w:tcPr>
          <w:p w14:paraId="218A1A0E" w14:textId="77777777" w:rsidR="00CD4E5E" w:rsidRDefault="00CD4E5E" w:rsidP="004736BE">
            <w:pPr>
              <w:pStyle w:val="Ingenmellomrom"/>
              <w:jc w:val="right"/>
            </w:pPr>
            <w:r>
              <w:t>12</w:t>
            </w:r>
          </w:p>
        </w:tc>
      </w:tr>
      <w:tr w:rsidR="00CD4E5E" w:rsidRPr="0099319D" w14:paraId="0A54141A" w14:textId="77777777" w:rsidTr="505B6C1C">
        <w:trPr>
          <w:trHeight w:val="419"/>
        </w:trPr>
        <w:tc>
          <w:tcPr>
            <w:tcW w:w="889" w:type="dxa"/>
          </w:tcPr>
          <w:p w14:paraId="56D49929" w14:textId="77777777" w:rsidR="00CD4E5E" w:rsidRPr="0099319D" w:rsidRDefault="00CD4E5E" w:rsidP="004736BE">
            <w:pPr>
              <w:pStyle w:val="Ingenmellomrom"/>
              <w:rPr>
                <w:b/>
                <w:bCs/>
              </w:rPr>
            </w:pPr>
            <w:r w:rsidRPr="0099319D">
              <w:rPr>
                <w:b/>
                <w:bCs/>
              </w:rPr>
              <w:t>Sum</w:t>
            </w:r>
          </w:p>
        </w:tc>
        <w:tc>
          <w:tcPr>
            <w:tcW w:w="812" w:type="dxa"/>
          </w:tcPr>
          <w:p w14:paraId="35048AF8" w14:textId="77777777" w:rsidR="00CD4E5E" w:rsidRPr="0099319D" w:rsidRDefault="00CD4E5E" w:rsidP="004736BE">
            <w:pPr>
              <w:pStyle w:val="Ingenmellomrom"/>
              <w:jc w:val="right"/>
              <w:rPr>
                <w:b/>
                <w:bCs/>
              </w:rPr>
            </w:pPr>
            <w:r w:rsidRPr="0099319D">
              <w:rPr>
                <w:b/>
                <w:bCs/>
              </w:rPr>
              <w:t>32</w:t>
            </w:r>
          </w:p>
        </w:tc>
      </w:tr>
    </w:tbl>
    <w:p w14:paraId="4E31BFB1" w14:textId="05FAB1B3" w:rsidR="505B6C1C" w:rsidRDefault="505B6C1C"/>
    <w:p w14:paraId="5693F246" w14:textId="77777777" w:rsidR="00CD4E5E" w:rsidRDefault="00CD4E5E" w:rsidP="00CD4E5E">
      <w:r>
        <w:br w:type="textWrapping" w:clear="all"/>
      </w:r>
    </w:p>
    <w:p w14:paraId="04C2568D" w14:textId="7A683EB3" w:rsidR="00CD4E5E" w:rsidRDefault="00CD4E5E" w:rsidP="00CD4E5E">
      <w:r>
        <w:t>Ordningen ble evaluert i 2018</w:t>
      </w:r>
      <w:r>
        <w:rPr>
          <w:rStyle w:val="Fotnotereferanse"/>
        </w:rPr>
        <w:footnoteReference w:id="11"/>
      </w:r>
      <w:r>
        <w:t>, og hovedkonklusjonen var at den nasjonale forskerskoleordningen had</w:t>
      </w:r>
      <w:r w:rsidR="00594AC6">
        <w:t>d</w:t>
      </w:r>
      <w:r>
        <w:t xml:space="preserve">e ført til mer nasjonalt samarbeid mellom forskningsmiljøer, og at opplæringsprogrammet som gis til doktorgradskandidatene var av høy kvalitet. </w:t>
      </w:r>
      <w:r w:rsidR="00B71263">
        <w:t>Noen større effekter på gjennomføringsgrad og gjennomføringstid ble ikke dokumentert.</w:t>
      </w:r>
    </w:p>
    <w:p w14:paraId="303A96B3" w14:textId="09572BC9" w:rsidR="00CD4E5E" w:rsidRDefault="00CD4E5E" w:rsidP="00B836B2">
      <w:pPr>
        <w:rPr>
          <w:rFonts w:ascii="Calibri" w:eastAsia="Times New Roman" w:hAnsi="Calibri" w:cs="Calibri"/>
          <w:color w:val="000000"/>
        </w:rPr>
      </w:pPr>
      <w:r>
        <w:t xml:space="preserve">Etter evalueringen justerte Forskningsrådet ordningen og vedtok at den skulle brukes som virkemiddel for å oppnå særskilte mål. Det strategiske målet for utlysningen i 2021 var å styrke doktorgradsutdanningens arbeidslivsrelevans gjennom å utvikle nye modeller for samarbeid med arbeidslivet. Til søknadsfristen mottok Forskningsrådet 63 søknader og bevilget </w:t>
      </w:r>
      <w:r w:rsidR="00195915">
        <w:t>1</w:t>
      </w:r>
      <w:r>
        <w:t xml:space="preserve">92 mill. kroner til 12 forskerskoler. </w:t>
      </w:r>
    </w:p>
    <w:p w14:paraId="72F749AD" w14:textId="7D20510A" w:rsidR="004F0F25" w:rsidRPr="00F101B8" w:rsidRDefault="00EE63C3" w:rsidP="002660C0">
      <w:pPr>
        <w:pStyle w:val="Overskrift2"/>
        <w:ind w:firstLine="708"/>
        <w:rPr>
          <w:color w:val="000000"/>
          <w:sz w:val="28"/>
          <w:szCs w:val="22"/>
        </w:rPr>
      </w:pPr>
      <w:bookmarkStart w:id="7" w:name="_Toc111796575"/>
      <w:r>
        <w:rPr>
          <w:sz w:val="28"/>
          <w:szCs w:val="22"/>
        </w:rPr>
        <w:t>4</w:t>
      </w:r>
      <w:r w:rsidR="002660C0" w:rsidRPr="002660C0">
        <w:rPr>
          <w:sz w:val="28"/>
          <w:szCs w:val="22"/>
        </w:rPr>
        <w:t xml:space="preserve">.2 </w:t>
      </w:r>
      <w:r w:rsidR="004F0F25" w:rsidRPr="002660C0">
        <w:rPr>
          <w:sz w:val="28"/>
          <w:szCs w:val="22"/>
        </w:rPr>
        <w:t>Kapasitet</w:t>
      </w:r>
      <w:bookmarkEnd w:id="7"/>
      <w:r w:rsidR="004F0F25" w:rsidRPr="002660C0">
        <w:rPr>
          <w:sz w:val="28"/>
          <w:szCs w:val="22"/>
        </w:rPr>
        <w:t>  </w:t>
      </w:r>
      <w:r w:rsidR="004F0F25" w:rsidRPr="00F101B8">
        <w:rPr>
          <w:sz w:val="28"/>
          <w:szCs w:val="22"/>
        </w:rPr>
        <w:t> </w:t>
      </w:r>
    </w:p>
    <w:p w14:paraId="13D270B4" w14:textId="1F0A9C83" w:rsidR="004F0F25" w:rsidRPr="004F0F25" w:rsidRDefault="004F0F25" w:rsidP="004F0F25">
      <w:pPr>
        <w:spacing w:after="0" w:line="240" w:lineRule="auto"/>
        <w:ind w:left="45"/>
        <w:textAlignment w:val="baseline"/>
        <w:rPr>
          <w:rFonts w:ascii="Calibri" w:eastAsia="Times New Roman" w:hAnsi="Calibri" w:cs="Calibri"/>
          <w:color w:val="000000"/>
        </w:rPr>
      </w:pPr>
      <w:r w:rsidRPr="004F0F25">
        <w:rPr>
          <w:rFonts w:ascii="Calibri" w:eastAsia="Times New Roman" w:hAnsi="Calibri" w:cs="Calibri"/>
          <w:color w:val="000000"/>
        </w:rPr>
        <w:t xml:space="preserve">Kapasitet handler om at vi kvalifiserer et tilstrekkelig antall forskere til å dekke samfunnets behov for kunnskap og kompetanse. De gradsgivende institusjonene har i samarbeid med </w:t>
      </w:r>
      <w:r w:rsidR="00247EF1">
        <w:rPr>
          <w:rFonts w:ascii="Calibri" w:eastAsia="Times New Roman" w:hAnsi="Calibri" w:cs="Calibri"/>
          <w:color w:val="000000"/>
        </w:rPr>
        <w:t>K</w:t>
      </w:r>
      <w:r w:rsidRPr="004F0F25">
        <w:rPr>
          <w:rFonts w:ascii="Calibri" w:eastAsia="Times New Roman" w:hAnsi="Calibri" w:cs="Calibri"/>
          <w:color w:val="000000"/>
        </w:rPr>
        <w:t>unnskaps</w:t>
      </w:r>
      <w:r w:rsidR="006B542E">
        <w:rPr>
          <w:rFonts w:ascii="Calibri" w:eastAsia="Times New Roman" w:hAnsi="Calibri" w:cs="Calibri"/>
          <w:color w:val="000000"/>
        </w:rPr>
        <w:t>-</w:t>
      </w:r>
      <w:r w:rsidRPr="004F0F25">
        <w:rPr>
          <w:rFonts w:ascii="Calibri" w:eastAsia="Times New Roman" w:hAnsi="Calibri" w:cs="Calibri"/>
          <w:color w:val="000000"/>
        </w:rPr>
        <w:t>departementet ansvar for hvor mange som skal gis doktorgradsutdanning. Finansiering fra Forskingsrådet og andre kilder er et supplement</w:t>
      </w:r>
      <w:r w:rsidR="001B153C">
        <w:rPr>
          <w:rFonts w:ascii="Calibri" w:eastAsia="Times New Roman" w:hAnsi="Calibri" w:cs="Calibri"/>
          <w:color w:val="000000"/>
        </w:rPr>
        <w:t xml:space="preserve"> </w:t>
      </w:r>
      <w:r w:rsidRPr="004F0F25">
        <w:rPr>
          <w:rFonts w:ascii="Calibri" w:eastAsia="Times New Roman" w:hAnsi="Calibri" w:cs="Calibri"/>
          <w:color w:val="000000"/>
        </w:rPr>
        <w:t>og skal bidra til å styrke rekrutteringen innenfor nasjonalt prioriterte områder gjennom finansiering av stipendiatstillinger.  </w:t>
      </w:r>
    </w:p>
    <w:p w14:paraId="7FE36613" w14:textId="77777777" w:rsidR="00160A32" w:rsidRDefault="00160A32" w:rsidP="004F0F25">
      <w:pPr>
        <w:spacing w:after="0" w:line="240" w:lineRule="auto"/>
        <w:textAlignment w:val="baseline"/>
        <w:rPr>
          <w:rFonts w:ascii="Calibri" w:eastAsia="Times New Roman" w:hAnsi="Calibri" w:cs="Calibri"/>
          <w:b/>
          <w:bCs/>
          <w:i/>
          <w:iCs/>
          <w:color w:val="000000"/>
        </w:rPr>
      </w:pPr>
    </w:p>
    <w:p w14:paraId="34B1D327" w14:textId="1D7FA98A" w:rsidR="007E7209" w:rsidRDefault="007E7209" w:rsidP="007E7209">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Flere av F</w:t>
      </w:r>
      <w:r w:rsidRPr="004F0F25">
        <w:rPr>
          <w:rFonts w:ascii="Calibri" w:eastAsia="Times New Roman" w:hAnsi="Calibri" w:cs="Calibri"/>
          <w:color w:val="000000"/>
        </w:rPr>
        <w:t xml:space="preserve">orskningsrådets </w:t>
      </w:r>
      <w:r>
        <w:rPr>
          <w:rFonts w:ascii="Calibri" w:eastAsia="Times New Roman" w:hAnsi="Calibri" w:cs="Calibri"/>
          <w:color w:val="000000"/>
        </w:rPr>
        <w:t xml:space="preserve">porteføljer skal bidra til å løse viktige samfunnsutfordringer. Porteføljene hav, helse, klima- og polar, transport og lavutslipp og muliggjørende teknologier er eksempler på dette, og speiler i stor grad Langtidsplanens prioriteringer knyttet til: </w:t>
      </w:r>
    </w:p>
    <w:p w14:paraId="24FE4AC6" w14:textId="77777777" w:rsidR="007E7209" w:rsidRPr="00911E44" w:rsidRDefault="007E7209" w:rsidP="007E7209">
      <w:pPr>
        <w:pStyle w:val="Listeavsnitt"/>
        <w:numPr>
          <w:ilvl w:val="0"/>
          <w:numId w:val="23"/>
        </w:numPr>
        <w:spacing w:after="0" w:line="240" w:lineRule="auto"/>
        <w:textAlignment w:val="baseline"/>
        <w:rPr>
          <w:rFonts w:ascii="Calibri" w:eastAsia="Times New Roman" w:hAnsi="Calibri" w:cs="Calibri"/>
          <w:color w:val="000000"/>
        </w:rPr>
      </w:pPr>
      <w:r w:rsidRPr="00911E44">
        <w:rPr>
          <w:rFonts w:ascii="Calibri" w:eastAsia="Times New Roman" w:hAnsi="Calibri" w:cs="Calibri"/>
          <w:color w:val="000000"/>
        </w:rPr>
        <w:t>hav</w:t>
      </w:r>
    </w:p>
    <w:p w14:paraId="4A874BF8" w14:textId="77777777" w:rsidR="007E7209" w:rsidRDefault="007E7209" w:rsidP="007E7209">
      <w:pPr>
        <w:pStyle w:val="Listeavsnitt"/>
        <w:numPr>
          <w:ilvl w:val="0"/>
          <w:numId w:val="23"/>
        </w:numPr>
        <w:spacing w:after="0" w:line="240" w:lineRule="auto"/>
        <w:textAlignment w:val="baseline"/>
        <w:rPr>
          <w:rFonts w:ascii="Calibri" w:eastAsia="Times New Roman" w:hAnsi="Calibri" w:cs="Calibri"/>
          <w:color w:val="000000"/>
        </w:rPr>
      </w:pPr>
      <w:r w:rsidRPr="00ED20AD">
        <w:rPr>
          <w:rFonts w:ascii="Calibri" w:eastAsia="Times New Roman" w:hAnsi="Calibri" w:cs="Calibri"/>
          <w:color w:val="000000"/>
        </w:rPr>
        <w:t>klima og miljøvennlig energi</w:t>
      </w:r>
    </w:p>
    <w:p w14:paraId="437A5238" w14:textId="77777777" w:rsidR="007E7209" w:rsidRDefault="007E7209" w:rsidP="007E7209">
      <w:pPr>
        <w:pStyle w:val="Listeavsnitt"/>
        <w:numPr>
          <w:ilvl w:val="0"/>
          <w:numId w:val="23"/>
        </w:numPr>
        <w:spacing w:after="0" w:line="240" w:lineRule="auto"/>
        <w:textAlignment w:val="baseline"/>
        <w:rPr>
          <w:rFonts w:ascii="Calibri" w:eastAsia="Times New Roman" w:hAnsi="Calibri" w:cs="Calibri"/>
          <w:color w:val="000000"/>
        </w:rPr>
      </w:pPr>
      <w:r w:rsidRPr="00ED20AD">
        <w:rPr>
          <w:rFonts w:ascii="Calibri" w:eastAsia="Times New Roman" w:hAnsi="Calibri" w:cs="Calibri"/>
          <w:color w:val="000000"/>
        </w:rPr>
        <w:t xml:space="preserve">fornyelse i offentlig sektor </w:t>
      </w:r>
      <w:r>
        <w:rPr>
          <w:rFonts w:ascii="Calibri" w:eastAsia="Times New Roman" w:hAnsi="Calibri" w:cs="Calibri"/>
          <w:color w:val="000000"/>
        </w:rPr>
        <w:t>o</w:t>
      </w:r>
      <w:r w:rsidRPr="00ED20AD">
        <w:rPr>
          <w:rFonts w:ascii="Calibri" w:eastAsia="Times New Roman" w:hAnsi="Calibri" w:cs="Calibri"/>
          <w:color w:val="000000"/>
        </w:rPr>
        <w:t>g bedre og mer effektive, velfer</w:t>
      </w:r>
      <w:r>
        <w:rPr>
          <w:rFonts w:ascii="Calibri" w:eastAsia="Times New Roman" w:hAnsi="Calibri" w:cs="Calibri"/>
          <w:color w:val="000000"/>
        </w:rPr>
        <w:t>ds-, helse- og omsorgstjenester</w:t>
      </w:r>
    </w:p>
    <w:p w14:paraId="46B1021D" w14:textId="77777777" w:rsidR="007E7209" w:rsidRDefault="007E7209" w:rsidP="007E7209">
      <w:pPr>
        <w:pStyle w:val="Listeavsnitt"/>
        <w:numPr>
          <w:ilvl w:val="0"/>
          <w:numId w:val="23"/>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muliggjørende teknologier</w:t>
      </w:r>
    </w:p>
    <w:p w14:paraId="4B421DEF" w14:textId="7A2A7E20" w:rsidR="005A4ADE" w:rsidRPr="00287337" w:rsidRDefault="007E7209" w:rsidP="004F0F25">
      <w:pPr>
        <w:pStyle w:val="Listeavsnitt"/>
        <w:numPr>
          <w:ilvl w:val="0"/>
          <w:numId w:val="23"/>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et omstillingsdyktig næringsliv</w:t>
      </w:r>
      <w:r w:rsidR="00BA2CFF">
        <w:rPr>
          <w:rFonts w:ascii="Calibri" w:eastAsia="Times New Roman" w:hAnsi="Calibri" w:cs="Calibri"/>
          <w:color w:val="000000"/>
        </w:rPr>
        <w:t>.</w:t>
      </w:r>
    </w:p>
    <w:p w14:paraId="40A3986F" w14:textId="77777777" w:rsidR="005A4ADE" w:rsidRDefault="005A4ADE" w:rsidP="004F0F25">
      <w:pPr>
        <w:spacing w:after="0" w:line="240" w:lineRule="auto"/>
        <w:textAlignment w:val="baseline"/>
        <w:rPr>
          <w:rFonts w:ascii="Calibri" w:eastAsia="Times New Roman" w:hAnsi="Calibri" w:cs="Calibri"/>
          <w:b/>
          <w:bCs/>
          <w:i/>
          <w:iCs/>
          <w:color w:val="000000"/>
        </w:rPr>
      </w:pPr>
    </w:p>
    <w:p w14:paraId="4DEAF2AF"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769B8DA8"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4D6C9714"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679E2ECD"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670E933E"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15F79AA4"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7320B58A"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089C08E5"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646DB493"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486A8A7B"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122C9A13"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558E1470"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59762CE0"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31EFB9EF"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6BC67AF9"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1DCE0641" w14:textId="77777777" w:rsidR="00455B0A" w:rsidRDefault="00455B0A" w:rsidP="004F0F25">
      <w:pPr>
        <w:spacing w:after="0" w:line="240" w:lineRule="auto"/>
        <w:textAlignment w:val="baseline"/>
        <w:rPr>
          <w:rFonts w:ascii="Calibri" w:eastAsia="Times New Roman" w:hAnsi="Calibri" w:cs="Calibri"/>
          <w:b/>
          <w:bCs/>
          <w:i/>
          <w:iCs/>
          <w:color w:val="000000"/>
        </w:rPr>
      </w:pPr>
    </w:p>
    <w:p w14:paraId="5C061FEB" w14:textId="38688BF5" w:rsidR="004F0F25" w:rsidRPr="004F0F25" w:rsidRDefault="007D56B1" w:rsidP="004F0F25">
      <w:pPr>
        <w:spacing w:after="0" w:line="240" w:lineRule="auto"/>
        <w:textAlignment w:val="baseline"/>
        <w:rPr>
          <w:rFonts w:ascii="Calibri" w:eastAsia="Times New Roman" w:hAnsi="Calibri" w:cs="Calibri"/>
          <w:color w:val="000000"/>
        </w:rPr>
      </w:pPr>
      <w:r>
        <w:rPr>
          <w:rFonts w:ascii="Calibri" w:eastAsia="Times New Roman" w:hAnsi="Calibri" w:cs="Calibri"/>
          <w:b/>
          <w:bCs/>
          <w:i/>
          <w:iCs/>
          <w:color w:val="000000"/>
        </w:rPr>
        <w:lastRenderedPageBreak/>
        <w:t>H</w:t>
      </w:r>
      <w:r w:rsidR="004F0F25" w:rsidRPr="004F0F25">
        <w:rPr>
          <w:rFonts w:ascii="Calibri" w:eastAsia="Times New Roman" w:hAnsi="Calibri" w:cs="Calibri"/>
          <w:b/>
          <w:bCs/>
          <w:i/>
          <w:iCs/>
          <w:color w:val="000000"/>
        </w:rPr>
        <w:t>øy andel av doktorgradsårsverkene er innenfor områder med omstilling og innovasjon som mål </w:t>
      </w:r>
      <w:r w:rsidR="004F0F25" w:rsidRPr="004F0F25">
        <w:rPr>
          <w:rFonts w:ascii="Calibri" w:eastAsia="Times New Roman" w:hAnsi="Calibri" w:cs="Calibri"/>
          <w:color w:val="000000"/>
        </w:rPr>
        <w:t> </w:t>
      </w:r>
    </w:p>
    <w:p w14:paraId="64243121" w14:textId="77777777" w:rsidR="00160A32" w:rsidRDefault="00160A32" w:rsidP="000844E6">
      <w:pPr>
        <w:spacing w:after="0" w:line="240" w:lineRule="auto"/>
        <w:textAlignment w:val="baseline"/>
        <w:rPr>
          <w:rFonts w:ascii="Calibri" w:eastAsia="Times New Roman" w:hAnsi="Calibri" w:cs="Calibri"/>
          <w:color w:val="000000" w:themeColor="accent6"/>
          <w:sz w:val="18"/>
          <w:szCs w:val="18"/>
        </w:rPr>
      </w:pPr>
    </w:p>
    <w:p w14:paraId="6123298C" w14:textId="5EDDDE25" w:rsidR="00941127" w:rsidRDefault="000844E6" w:rsidP="00941127">
      <w:pPr>
        <w:spacing w:after="0" w:line="240" w:lineRule="auto"/>
        <w:textAlignment w:val="baseline"/>
        <w:rPr>
          <w:rFonts w:ascii="Calibri" w:eastAsia="Times New Roman" w:hAnsi="Calibri" w:cs="Calibri"/>
          <w:color w:val="000000" w:themeColor="accent6"/>
          <w:sz w:val="18"/>
          <w:szCs w:val="18"/>
        </w:rPr>
      </w:pPr>
      <w:r w:rsidRPr="00B77DF5">
        <w:rPr>
          <w:rFonts w:ascii="Calibri" w:eastAsia="Times New Roman" w:hAnsi="Calibri" w:cs="Calibri"/>
          <w:color w:val="000000" w:themeColor="accent6"/>
          <w:sz w:val="18"/>
          <w:szCs w:val="18"/>
        </w:rPr>
        <w:t xml:space="preserve">Figur </w:t>
      </w:r>
      <w:r w:rsidR="00287337">
        <w:rPr>
          <w:rFonts w:ascii="Calibri" w:eastAsia="Times New Roman" w:hAnsi="Calibri" w:cs="Calibri"/>
          <w:color w:val="000000" w:themeColor="accent6"/>
          <w:sz w:val="18"/>
          <w:szCs w:val="18"/>
        </w:rPr>
        <w:t>4</w:t>
      </w:r>
      <w:r w:rsidR="00993347">
        <w:rPr>
          <w:rFonts w:ascii="Calibri" w:eastAsia="Times New Roman" w:hAnsi="Calibri" w:cs="Calibri"/>
          <w:color w:val="000000" w:themeColor="accent6"/>
          <w:sz w:val="18"/>
          <w:szCs w:val="18"/>
        </w:rPr>
        <w:t>.</w:t>
      </w:r>
      <w:r w:rsidR="00941127">
        <w:rPr>
          <w:rFonts w:ascii="Calibri" w:eastAsia="Times New Roman" w:hAnsi="Calibri" w:cs="Calibri"/>
          <w:color w:val="000000" w:themeColor="accent6"/>
          <w:sz w:val="18"/>
          <w:szCs w:val="18"/>
        </w:rPr>
        <w:t>4</w:t>
      </w:r>
      <w:r w:rsidR="00993347">
        <w:rPr>
          <w:rFonts w:ascii="Calibri" w:eastAsia="Times New Roman" w:hAnsi="Calibri" w:cs="Calibri"/>
          <w:color w:val="000000" w:themeColor="accent6"/>
          <w:sz w:val="18"/>
          <w:szCs w:val="18"/>
        </w:rPr>
        <w:t xml:space="preserve"> </w:t>
      </w:r>
      <w:r>
        <w:rPr>
          <w:rFonts w:ascii="Calibri" w:eastAsia="Times New Roman" w:hAnsi="Calibri" w:cs="Calibri"/>
          <w:color w:val="000000" w:themeColor="accent6"/>
          <w:sz w:val="18"/>
          <w:szCs w:val="18"/>
        </w:rPr>
        <w:t>Doktorgradsårsverk fordelt på fagområder i perioden 2019-2021</w:t>
      </w:r>
      <w:r w:rsidR="00BA2CFF">
        <w:rPr>
          <w:rFonts w:ascii="Calibri" w:eastAsia="Times New Roman" w:hAnsi="Calibri" w:cs="Calibri"/>
          <w:color w:val="000000" w:themeColor="accent6"/>
          <w:sz w:val="18"/>
          <w:szCs w:val="18"/>
        </w:rPr>
        <w:t>.</w:t>
      </w:r>
    </w:p>
    <w:p w14:paraId="4EAFA3D8" w14:textId="7871E786" w:rsidR="00941127" w:rsidRDefault="00455B0A" w:rsidP="00941127">
      <w:pPr>
        <w:spacing w:after="0" w:line="240" w:lineRule="auto"/>
        <w:textAlignment w:val="baseline"/>
        <w:rPr>
          <w:rFonts w:ascii="Calibri" w:eastAsia="Times New Roman" w:hAnsi="Calibri" w:cs="Calibri"/>
          <w:color w:val="000000" w:themeColor="accent6"/>
          <w:sz w:val="18"/>
          <w:szCs w:val="18"/>
        </w:rPr>
      </w:pPr>
      <w:r>
        <w:rPr>
          <w:noProof/>
        </w:rPr>
        <w:drawing>
          <wp:inline distT="0" distB="0" distL="0" distR="0" wp14:anchorId="44CBF71E" wp14:editId="7C615921">
            <wp:extent cx="5759450" cy="4523105"/>
            <wp:effectExtent l="0" t="0" r="12700" b="10795"/>
            <wp:docPr id="3" name="Diagram 3">
              <a:extLst xmlns:a="http://schemas.openxmlformats.org/drawingml/2006/main">
                <a:ext uri="{FF2B5EF4-FFF2-40B4-BE49-F238E27FC236}">
                  <a16:creationId xmlns:a16="http://schemas.microsoft.com/office/drawing/2014/main" id="{1214F669-FB3D-4C88-A605-523099149C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8362F4" w14:textId="5ACFEEEF" w:rsidR="004877B9" w:rsidRDefault="00941127" w:rsidP="004877B9">
      <w:pPr>
        <w:spacing w:after="0" w:line="240" w:lineRule="auto"/>
        <w:textAlignment w:val="baseline"/>
        <w:rPr>
          <w:rFonts w:ascii="Calibri" w:eastAsia="Times New Roman" w:hAnsi="Calibri" w:cs="Calibri"/>
          <w:color w:val="auto"/>
          <w:sz w:val="18"/>
          <w:szCs w:val="18"/>
        </w:rPr>
      </w:pPr>
      <w:r>
        <w:rPr>
          <w:rFonts w:ascii="Calibri" w:eastAsia="Times New Roman" w:hAnsi="Calibri" w:cs="Calibri"/>
          <w:color w:val="000000" w:themeColor="accent6"/>
          <w:sz w:val="18"/>
          <w:szCs w:val="18"/>
        </w:rPr>
        <w:t>Kilde: Forskningsrådet.</w:t>
      </w:r>
      <w:r w:rsidR="004877B9">
        <w:rPr>
          <w:rFonts w:ascii="Calibri" w:eastAsia="Times New Roman" w:hAnsi="Calibri" w:cs="Calibri"/>
          <w:color w:val="000000" w:themeColor="accent6"/>
          <w:sz w:val="18"/>
          <w:szCs w:val="18"/>
        </w:rPr>
        <w:t xml:space="preserve"> </w:t>
      </w:r>
      <w:r w:rsidR="009611CC">
        <w:rPr>
          <w:rFonts w:ascii="Calibri" w:eastAsia="Times New Roman" w:hAnsi="Calibri" w:cs="Calibri"/>
          <w:color w:val="000000" w:themeColor="accent6"/>
          <w:sz w:val="18"/>
          <w:szCs w:val="18"/>
        </w:rPr>
        <w:t>(</w:t>
      </w:r>
      <w:r w:rsidR="004877B9" w:rsidRPr="00E60779">
        <w:rPr>
          <w:rFonts w:ascii="Calibri" w:eastAsia="Times New Roman" w:hAnsi="Calibri" w:cs="Calibri"/>
          <w:color w:val="auto"/>
          <w:sz w:val="18"/>
          <w:szCs w:val="18"/>
        </w:rPr>
        <w:t>Merk</w:t>
      </w:r>
      <w:r w:rsidR="004877B9">
        <w:rPr>
          <w:rFonts w:ascii="Calibri" w:eastAsia="Times New Roman" w:hAnsi="Calibri" w:cs="Calibri"/>
          <w:color w:val="auto"/>
          <w:sz w:val="18"/>
          <w:szCs w:val="18"/>
        </w:rPr>
        <w:t>;</w:t>
      </w:r>
      <w:r w:rsidR="004877B9" w:rsidRPr="00E60779">
        <w:rPr>
          <w:rFonts w:ascii="Calibri" w:eastAsia="Times New Roman" w:hAnsi="Calibri" w:cs="Calibri"/>
          <w:color w:val="auto"/>
          <w:sz w:val="18"/>
          <w:szCs w:val="18"/>
        </w:rPr>
        <w:t xml:space="preserve"> for en person som har hatt full finansiering fra Forskningsrådet i hele treårsperioden, blir årsverkene talt tre ganger</w:t>
      </w:r>
      <w:r w:rsidR="009611CC">
        <w:rPr>
          <w:rFonts w:ascii="Calibri" w:eastAsia="Times New Roman" w:hAnsi="Calibri" w:cs="Calibri"/>
          <w:color w:val="auto"/>
          <w:sz w:val="18"/>
          <w:szCs w:val="18"/>
        </w:rPr>
        <w:t>)</w:t>
      </w:r>
      <w:r w:rsidR="004877B9" w:rsidRPr="00E60779">
        <w:rPr>
          <w:rFonts w:ascii="Calibri" w:eastAsia="Times New Roman" w:hAnsi="Calibri" w:cs="Calibri"/>
          <w:color w:val="auto"/>
          <w:sz w:val="18"/>
          <w:szCs w:val="18"/>
        </w:rPr>
        <w:t>.</w:t>
      </w:r>
    </w:p>
    <w:p w14:paraId="12079AB3" w14:textId="7D7811AA" w:rsidR="00941127" w:rsidRDefault="00941127" w:rsidP="00941127">
      <w:pPr>
        <w:spacing w:after="0" w:line="240" w:lineRule="auto"/>
        <w:textAlignment w:val="baseline"/>
        <w:rPr>
          <w:rFonts w:ascii="Calibri" w:eastAsia="Times New Roman" w:hAnsi="Calibri" w:cs="Calibri"/>
          <w:color w:val="000000" w:themeColor="accent6"/>
          <w:sz w:val="18"/>
          <w:szCs w:val="18"/>
        </w:rPr>
      </w:pPr>
    </w:p>
    <w:p w14:paraId="17D3A6EE" w14:textId="77777777" w:rsidR="00941127" w:rsidRDefault="00941127" w:rsidP="00941127">
      <w:pPr>
        <w:spacing w:after="0" w:line="240" w:lineRule="auto"/>
        <w:textAlignment w:val="baseline"/>
        <w:rPr>
          <w:rFonts w:ascii="Calibri" w:eastAsia="Times New Roman" w:hAnsi="Calibri" w:cs="Calibri"/>
          <w:color w:val="000000" w:themeColor="accent6"/>
          <w:sz w:val="18"/>
          <w:szCs w:val="18"/>
        </w:rPr>
      </w:pPr>
    </w:p>
    <w:p w14:paraId="4A449B91" w14:textId="0BA7EFAE"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Energi, transport og lavutslipp, var den porteføljen som finansierte flest doktorgradsårsverk i perioden 201</w:t>
      </w:r>
      <w:r w:rsidR="00AA2099">
        <w:rPr>
          <w:rFonts w:ascii="Calibri" w:eastAsia="Times New Roman" w:hAnsi="Calibri" w:cs="Calibri"/>
          <w:color w:val="000000"/>
        </w:rPr>
        <w:t>9</w:t>
      </w:r>
      <w:r w:rsidRPr="004F0F25">
        <w:rPr>
          <w:rFonts w:ascii="Calibri" w:eastAsia="Times New Roman" w:hAnsi="Calibri" w:cs="Calibri"/>
          <w:color w:val="000000"/>
        </w:rPr>
        <w:t>-202</w:t>
      </w:r>
      <w:r w:rsidR="00AA2099">
        <w:rPr>
          <w:rFonts w:ascii="Calibri" w:eastAsia="Times New Roman" w:hAnsi="Calibri" w:cs="Calibri"/>
          <w:color w:val="000000"/>
        </w:rPr>
        <w:t xml:space="preserve">1. Sentrene for </w:t>
      </w:r>
      <w:r w:rsidRPr="004F0F25">
        <w:rPr>
          <w:rFonts w:ascii="Calibri" w:eastAsia="Times New Roman" w:hAnsi="Calibri" w:cs="Calibri"/>
          <w:color w:val="000000"/>
        </w:rPr>
        <w:t>forskningsdrevet innovasjon</w:t>
      </w:r>
      <w:r w:rsidR="00AA2099">
        <w:rPr>
          <w:rFonts w:ascii="Calibri" w:eastAsia="Times New Roman" w:hAnsi="Calibri" w:cs="Calibri"/>
          <w:color w:val="000000"/>
        </w:rPr>
        <w:t xml:space="preserve"> var også blant porteføljene som finansierte flest doktorgradsårsverk</w:t>
      </w:r>
      <w:r w:rsidRPr="004F0F25">
        <w:rPr>
          <w:rFonts w:ascii="Calibri" w:eastAsia="Times New Roman" w:hAnsi="Calibri" w:cs="Calibri"/>
          <w:color w:val="000000"/>
        </w:rPr>
        <w:t xml:space="preserve">. Begge disse har innovasjon som mål og skal bidra til omstilling. Nærings-ph.d. </w:t>
      </w:r>
      <w:r w:rsidR="00564D4D">
        <w:rPr>
          <w:rFonts w:ascii="Calibri" w:eastAsia="Times New Roman" w:hAnsi="Calibri" w:cs="Calibri"/>
          <w:color w:val="000000"/>
        </w:rPr>
        <w:t xml:space="preserve">som var den </w:t>
      </w:r>
      <w:r w:rsidR="00AA2099">
        <w:rPr>
          <w:rFonts w:ascii="Calibri" w:eastAsia="Times New Roman" w:hAnsi="Calibri" w:cs="Calibri"/>
          <w:color w:val="000000"/>
        </w:rPr>
        <w:t xml:space="preserve">nest </w:t>
      </w:r>
      <w:r w:rsidRPr="004F0F25">
        <w:rPr>
          <w:rFonts w:ascii="Calibri" w:eastAsia="Times New Roman" w:hAnsi="Calibri" w:cs="Calibri"/>
          <w:color w:val="000000"/>
        </w:rPr>
        <w:t xml:space="preserve">største og </w:t>
      </w:r>
      <w:r w:rsidR="0037221E">
        <w:rPr>
          <w:rFonts w:ascii="Calibri" w:eastAsia="Times New Roman" w:hAnsi="Calibri" w:cs="Calibri"/>
          <w:color w:val="000000"/>
        </w:rPr>
        <w:t>m</w:t>
      </w:r>
      <w:r w:rsidRPr="004F0F25">
        <w:rPr>
          <w:rFonts w:ascii="Calibri" w:eastAsia="Times New Roman" w:hAnsi="Calibri" w:cs="Calibri"/>
          <w:color w:val="000000"/>
        </w:rPr>
        <w:t xml:space="preserve">uliggjørende teknologier </w:t>
      </w:r>
      <w:r w:rsidR="00564D4D">
        <w:rPr>
          <w:rFonts w:ascii="Calibri" w:eastAsia="Times New Roman" w:hAnsi="Calibri" w:cs="Calibri"/>
          <w:color w:val="000000"/>
        </w:rPr>
        <w:t>som var den tredj</w:t>
      </w:r>
      <w:r w:rsidR="00BA2CFF">
        <w:rPr>
          <w:rFonts w:ascii="Calibri" w:eastAsia="Times New Roman" w:hAnsi="Calibri" w:cs="Calibri"/>
          <w:color w:val="000000"/>
        </w:rPr>
        <w:t>e</w:t>
      </w:r>
      <w:r w:rsidR="00564D4D">
        <w:rPr>
          <w:rFonts w:ascii="Calibri" w:eastAsia="Times New Roman" w:hAnsi="Calibri" w:cs="Calibri"/>
          <w:color w:val="000000"/>
        </w:rPr>
        <w:t xml:space="preserve"> </w:t>
      </w:r>
      <w:r w:rsidRPr="004F0F25">
        <w:rPr>
          <w:rFonts w:ascii="Calibri" w:eastAsia="Times New Roman" w:hAnsi="Calibri" w:cs="Calibri"/>
          <w:color w:val="000000"/>
        </w:rPr>
        <w:t>største porteføljen</w:t>
      </w:r>
      <w:r w:rsidR="00564D4D">
        <w:rPr>
          <w:rFonts w:ascii="Calibri" w:eastAsia="Times New Roman" w:hAnsi="Calibri" w:cs="Calibri"/>
          <w:color w:val="000000"/>
        </w:rPr>
        <w:t xml:space="preserve"> i perioden</w:t>
      </w:r>
      <w:r w:rsidRPr="004F0F25">
        <w:rPr>
          <w:rFonts w:ascii="Calibri" w:eastAsia="Times New Roman" w:hAnsi="Calibri" w:cs="Calibri"/>
          <w:color w:val="000000"/>
        </w:rPr>
        <w:t xml:space="preserve">, skal </w:t>
      </w:r>
      <w:r w:rsidR="00564D4D">
        <w:rPr>
          <w:rFonts w:ascii="Calibri" w:eastAsia="Times New Roman" w:hAnsi="Calibri" w:cs="Calibri"/>
          <w:color w:val="000000"/>
        </w:rPr>
        <w:t xml:space="preserve">også </w:t>
      </w:r>
      <w:r w:rsidRPr="004F0F25">
        <w:rPr>
          <w:rFonts w:ascii="Calibri" w:eastAsia="Times New Roman" w:hAnsi="Calibri" w:cs="Calibri"/>
          <w:color w:val="000000"/>
        </w:rPr>
        <w:t xml:space="preserve">bidra til innovasjon og omstilling. En stor andel av Forskningsrådets </w:t>
      </w:r>
      <w:r w:rsidR="008B29EF">
        <w:rPr>
          <w:rFonts w:ascii="Calibri" w:eastAsia="Times New Roman" w:hAnsi="Calibri" w:cs="Calibri"/>
          <w:color w:val="000000"/>
        </w:rPr>
        <w:t>doktorgradsårsverk</w:t>
      </w:r>
      <w:r w:rsidRPr="004F0F25">
        <w:rPr>
          <w:rFonts w:ascii="Calibri" w:eastAsia="Times New Roman" w:hAnsi="Calibri" w:cs="Calibri"/>
          <w:color w:val="000000"/>
        </w:rPr>
        <w:t xml:space="preserve"> i perioden 201</w:t>
      </w:r>
      <w:r w:rsidR="00AA2099">
        <w:rPr>
          <w:rFonts w:ascii="Calibri" w:eastAsia="Times New Roman" w:hAnsi="Calibri" w:cs="Calibri"/>
          <w:color w:val="000000"/>
        </w:rPr>
        <w:t>9</w:t>
      </w:r>
      <w:r w:rsidRPr="004F0F25">
        <w:rPr>
          <w:rFonts w:ascii="Calibri" w:eastAsia="Times New Roman" w:hAnsi="Calibri" w:cs="Calibri"/>
          <w:color w:val="000000"/>
        </w:rPr>
        <w:t>-202</w:t>
      </w:r>
      <w:r w:rsidR="00AA2099">
        <w:rPr>
          <w:rFonts w:ascii="Calibri" w:eastAsia="Times New Roman" w:hAnsi="Calibri" w:cs="Calibri"/>
          <w:color w:val="000000"/>
        </w:rPr>
        <w:t>1</w:t>
      </w:r>
      <w:r w:rsidRPr="004F0F25">
        <w:rPr>
          <w:rFonts w:ascii="Calibri" w:eastAsia="Times New Roman" w:hAnsi="Calibri" w:cs="Calibri"/>
          <w:color w:val="000000"/>
        </w:rPr>
        <w:t>, gikk altså til områder som enten hadde det grønne skiftet og/eller omstilling som formål.  På denne måten bidr</w:t>
      </w:r>
      <w:r w:rsidR="0037221E">
        <w:rPr>
          <w:rFonts w:ascii="Calibri" w:eastAsia="Times New Roman" w:hAnsi="Calibri" w:cs="Calibri"/>
          <w:color w:val="000000"/>
        </w:rPr>
        <w:t>ar</w:t>
      </w:r>
      <w:r w:rsidRPr="004F0F25">
        <w:rPr>
          <w:rFonts w:ascii="Calibri" w:eastAsia="Times New Roman" w:hAnsi="Calibri" w:cs="Calibri"/>
          <w:color w:val="000000"/>
        </w:rPr>
        <w:t xml:space="preserve"> Forskningsrådet til å bygge kapasitet i forskerkvalifiseringen innenfor områder med omstilling og innovasjon som mål.  </w:t>
      </w:r>
    </w:p>
    <w:p w14:paraId="0B1A8DCC" w14:textId="77777777" w:rsidR="007E7209" w:rsidRDefault="007E7209" w:rsidP="004F0F25">
      <w:pPr>
        <w:spacing w:after="0" w:line="240" w:lineRule="auto"/>
        <w:textAlignment w:val="baseline"/>
        <w:rPr>
          <w:rFonts w:ascii="Calibri" w:eastAsia="Times New Roman" w:hAnsi="Calibri" w:cs="Calibri"/>
          <w:b/>
          <w:bCs/>
          <w:i/>
          <w:iCs/>
          <w:color w:val="000000"/>
        </w:rPr>
      </w:pPr>
    </w:p>
    <w:p w14:paraId="7E013B7B" w14:textId="1CC10305" w:rsidR="007B4FEA" w:rsidRPr="007B4FEA" w:rsidRDefault="00FD5716" w:rsidP="004F0F25">
      <w:pPr>
        <w:spacing w:after="0" w:line="240" w:lineRule="auto"/>
        <w:textAlignment w:val="baseline"/>
        <w:rPr>
          <w:rFonts w:ascii="Calibri" w:eastAsia="Times New Roman" w:hAnsi="Calibri" w:cs="Calibri"/>
          <w:b/>
          <w:bCs/>
          <w:i/>
          <w:iCs/>
          <w:color w:val="000000"/>
        </w:rPr>
      </w:pPr>
      <w:r>
        <w:rPr>
          <w:rFonts w:ascii="Calibri" w:eastAsia="Times New Roman" w:hAnsi="Calibri" w:cs="Calibri"/>
          <w:b/>
          <w:bCs/>
          <w:i/>
          <w:iCs/>
          <w:color w:val="000000"/>
        </w:rPr>
        <w:t xml:space="preserve">Industri og </w:t>
      </w:r>
      <w:r w:rsidR="009320F3">
        <w:rPr>
          <w:rFonts w:ascii="Calibri" w:eastAsia="Times New Roman" w:hAnsi="Calibri" w:cs="Calibri"/>
          <w:b/>
          <w:bCs/>
          <w:i/>
          <w:iCs/>
          <w:color w:val="000000"/>
        </w:rPr>
        <w:t>tjenestenæringer</w:t>
      </w:r>
      <w:r>
        <w:rPr>
          <w:rFonts w:ascii="Calibri" w:eastAsia="Times New Roman" w:hAnsi="Calibri" w:cs="Calibri"/>
          <w:b/>
          <w:bCs/>
          <w:i/>
          <w:iCs/>
          <w:color w:val="000000"/>
        </w:rPr>
        <w:t>, h</w:t>
      </w:r>
      <w:r w:rsidR="007B4FEA" w:rsidRPr="007B4FEA">
        <w:rPr>
          <w:rFonts w:ascii="Calibri" w:eastAsia="Times New Roman" w:hAnsi="Calibri" w:cs="Calibri"/>
          <w:b/>
          <w:bCs/>
          <w:i/>
          <w:iCs/>
          <w:color w:val="000000"/>
        </w:rPr>
        <w:t xml:space="preserve">av og landbasert mat, miljø og bioressurser </w:t>
      </w:r>
      <w:r>
        <w:rPr>
          <w:rFonts w:ascii="Calibri" w:eastAsia="Times New Roman" w:hAnsi="Calibri" w:cs="Calibri"/>
          <w:b/>
          <w:bCs/>
          <w:i/>
          <w:iCs/>
          <w:color w:val="000000"/>
        </w:rPr>
        <w:t xml:space="preserve">og samisk </w:t>
      </w:r>
      <w:r w:rsidR="007B4FEA" w:rsidRPr="007B4FEA">
        <w:rPr>
          <w:rFonts w:ascii="Calibri" w:eastAsia="Times New Roman" w:hAnsi="Calibri" w:cs="Calibri"/>
          <w:b/>
          <w:bCs/>
          <w:i/>
          <w:iCs/>
          <w:color w:val="000000"/>
        </w:rPr>
        <w:t xml:space="preserve">finansierer relativt sett færrest rekrutteringsårsverk </w:t>
      </w:r>
    </w:p>
    <w:p w14:paraId="2FF2593A" w14:textId="7F55E1B4" w:rsidR="007E7209" w:rsidRDefault="007E7209" w:rsidP="004F0F25">
      <w:pPr>
        <w:spacing w:after="0" w:line="240" w:lineRule="auto"/>
        <w:textAlignment w:val="baseline"/>
        <w:rPr>
          <w:rFonts w:ascii="Calibri" w:eastAsia="Times New Roman" w:hAnsi="Calibri" w:cs="Calibri"/>
          <w:color w:val="000000"/>
        </w:rPr>
      </w:pPr>
    </w:p>
    <w:p w14:paraId="3CD2CC4F" w14:textId="1A5A7801" w:rsidR="000D1D3D" w:rsidRDefault="00BB5A83" w:rsidP="00C541D6">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Størrelsen på porteføl</w:t>
      </w:r>
      <w:r w:rsidR="00C541D6">
        <w:rPr>
          <w:rFonts w:ascii="Calibri" w:eastAsia="Times New Roman" w:hAnsi="Calibri" w:cs="Calibri"/>
          <w:color w:val="000000"/>
        </w:rPr>
        <w:t xml:space="preserve">jenes </w:t>
      </w:r>
      <w:r>
        <w:rPr>
          <w:rFonts w:ascii="Calibri" w:eastAsia="Times New Roman" w:hAnsi="Calibri" w:cs="Calibri"/>
          <w:color w:val="000000"/>
        </w:rPr>
        <w:t>budsjetter varierer. For å kunne sammenlik</w:t>
      </w:r>
      <w:r w:rsidR="00C541D6">
        <w:rPr>
          <w:rFonts w:ascii="Calibri" w:eastAsia="Times New Roman" w:hAnsi="Calibri" w:cs="Calibri"/>
          <w:color w:val="000000"/>
        </w:rPr>
        <w:t>n</w:t>
      </w:r>
      <w:r w:rsidR="003F1846">
        <w:rPr>
          <w:rFonts w:ascii="Calibri" w:eastAsia="Times New Roman" w:hAnsi="Calibri" w:cs="Calibri"/>
          <w:color w:val="000000"/>
        </w:rPr>
        <w:t>e</w:t>
      </w:r>
      <w:r w:rsidR="00C541D6">
        <w:rPr>
          <w:rFonts w:ascii="Calibri" w:eastAsia="Times New Roman" w:hAnsi="Calibri" w:cs="Calibri"/>
          <w:color w:val="000000"/>
        </w:rPr>
        <w:t xml:space="preserve"> </w:t>
      </w:r>
      <w:r w:rsidR="00186CD5">
        <w:rPr>
          <w:rFonts w:ascii="Calibri" w:eastAsia="Times New Roman" w:hAnsi="Calibri" w:cs="Calibri"/>
          <w:color w:val="000000"/>
        </w:rPr>
        <w:t xml:space="preserve">de ulike </w:t>
      </w:r>
      <w:r w:rsidR="00C541D6">
        <w:rPr>
          <w:rFonts w:ascii="Calibri" w:eastAsia="Times New Roman" w:hAnsi="Calibri" w:cs="Calibri"/>
          <w:color w:val="000000"/>
        </w:rPr>
        <w:t xml:space="preserve">porteføljenes </w:t>
      </w:r>
      <w:r>
        <w:rPr>
          <w:rFonts w:ascii="Calibri" w:eastAsia="Times New Roman" w:hAnsi="Calibri" w:cs="Calibri"/>
          <w:color w:val="000000"/>
        </w:rPr>
        <w:t>rekrutterings</w:t>
      </w:r>
      <w:r w:rsidR="00C541D6">
        <w:rPr>
          <w:rFonts w:ascii="Calibri" w:eastAsia="Times New Roman" w:hAnsi="Calibri" w:cs="Calibri"/>
          <w:color w:val="000000"/>
        </w:rPr>
        <w:t xml:space="preserve">innsats </w:t>
      </w:r>
      <w:r w:rsidR="00186CD5">
        <w:rPr>
          <w:rFonts w:ascii="Calibri" w:eastAsia="Times New Roman" w:hAnsi="Calibri" w:cs="Calibri"/>
          <w:color w:val="000000"/>
        </w:rPr>
        <w:t>i forhold til d</w:t>
      </w:r>
      <w:r w:rsidR="00C541D6">
        <w:rPr>
          <w:rFonts w:ascii="Calibri" w:eastAsia="Times New Roman" w:hAnsi="Calibri" w:cs="Calibri"/>
          <w:color w:val="000000"/>
        </w:rPr>
        <w:t xml:space="preserve">isponibelt budsjett, har vi laget en </w:t>
      </w:r>
      <w:r w:rsidR="00DA7234">
        <w:rPr>
          <w:rFonts w:ascii="Calibri" w:eastAsia="Times New Roman" w:hAnsi="Calibri" w:cs="Calibri"/>
          <w:color w:val="000000"/>
        </w:rPr>
        <w:t>oversikt (</w:t>
      </w:r>
      <w:r w:rsidR="00186CD5">
        <w:rPr>
          <w:rFonts w:ascii="Calibri" w:eastAsia="Times New Roman" w:hAnsi="Calibri" w:cs="Calibri"/>
          <w:color w:val="000000"/>
        </w:rPr>
        <w:t>tabell</w:t>
      </w:r>
      <w:r w:rsidR="00DA7234">
        <w:rPr>
          <w:rFonts w:ascii="Calibri" w:eastAsia="Times New Roman" w:hAnsi="Calibri" w:cs="Calibri"/>
          <w:color w:val="000000"/>
        </w:rPr>
        <w:t>)</w:t>
      </w:r>
      <w:r w:rsidR="00186CD5">
        <w:rPr>
          <w:rFonts w:ascii="Calibri" w:eastAsia="Times New Roman" w:hAnsi="Calibri" w:cs="Calibri"/>
          <w:color w:val="000000"/>
        </w:rPr>
        <w:t xml:space="preserve"> som viser dette. </w:t>
      </w:r>
      <w:r w:rsidR="00C541D6">
        <w:rPr>
          <w:rFonts w:ascii="Calibri" w:eastAsia="Times New Roman" w:hAnsi="Calibri" w:cs="Calibri"/>
          <w:color w:val="000000"/>
        </w:rPr>
        <w:t xml:space="preserve">  </w:t>
      </w:r>
    </w:p>
    <w:p w14:paraId="53C6A6EB" w14:textId="77777777" w:rsidR="00455B0A" w:rsidRDefault="00455B0A" w:rsidP="002B406D">
      <w:pPr>
        <w:spacing w:after="200" w:line="276" w:lineRule="auto"/>
        <w:rPr>
          <w:rFonts w:ascii="Calibri" w:eastAsia="Times New Roman" w:hAnsi="Calibri" w:cs="Calibri"/>
          <w:color w:val="000000" w:themeColor="accent6"/>
          <w:sz w:val="18"/>
          <w:szCs w:val="18"/>
        </w:rPr>
      </w:pPr>
    </w:p>
    <w:p w14:paraId="45448376" w14:textId="77777777" w:rsidR="00455B0A" w:rsidRDefault="00455B0A" w:rsidP="002B406D">
      <w:pPr>
        <w:spacing w:after="200" w:line="276" w:lineRule="auto"/>
        <w:rPr>
          <w:rFonts w:ascii="Calibri" w:eastAsia="Times New Roman" w:hAnsi="Calibri" w:cs="Calibri"/>
          <w:color w:val="000000" w:themeColor="accent6"/>
          <w:sz w:val="18"/>
          <w:szCs w:val="18"/>
        </w:rPr>
      </w:pPr>
    </w:p>
    <w:p w14:paraId="348376D0" w14:textId="77777777" w:rsidR="00455B0A" w:rsidRDefault="00455B0A" w:rsidP="002B406D">
      <w:pPr>
        <w:spacing w:after="200" w:line="276" w:lineRule="auto"/>
        <w:rPr>
          <w:rFonts w:ascii="Calibri" w:eastAsia="Times New Roman" w:hAnsi="Calibri" w:cs="Calibri"/>
          <w:color w:val="000000" w:themeColor="accent6"/>
          <w:sz w:val="18"/>
          <w:szCs w:val="18"/>
        </w:rPr>
      </w:pPr>
    </w:p>
    <w:p w14:paraId="52ACE070" w14:textId="77777777" w:rsidR="00455B0A" w:rsidRDefault="00455B0A" w:rsidP="002B406D">
      <w:pPr>
        <w:spacing w:after="200" w:line="276" w:lineRule="auto"/>
        <w:rPr>
          <w:rFonts w:ascii="Calibri" w:eastAsia="Times New Roman" w:hAnsi="Calibri" w:cs="Calibri"/>
          <w:color w:val="000000" w:themeColor="accent6"/>
          <w:sz w:val="18"/>
          <w:szCs w:val="18"/>
        </w:rPr>
      </w:pPr>
    </w:p>
    <w:p w14:paraId="018CA046" w14:textId="3271CC06" w:rsidR="003D7EB2" w:rsidRDefault="00A61C28" w:rsidP="002B406D">
      <w:pPr>
        <w:spacing w:after="200" w:line="276" w:lineRule="auto"/>
        <w:rPr>
          <w:rFonts w:ascii="Calibri" w:eastAsia="Times New Roman" w:hAnsi="Calibri" w:cs="Calibri"/>
          <w:color w:val="000000" w:themeColor="accent6"/>
          <w:sz w:val="18"/>
          <w:szCs w:val="18"/>
        </w:rPr>
      </w:pPr>
      <w:r w:rsidRPr="00A61C28">
        <w:rPr>
          <w:rFonts w:ascii="Calibri" w:eastAsia="Times New Roman" w:hAnsi="Calibri" w:cs="Calibri"/>
          <w:color w:val="000000" w:themeColor="accent6"/>
          <w:sz w:val="18"/>
          <w:szCs w:val="18"/>
        </w:rPr>
        <w:t xml:space="preserve">Tabell </w:t>
      </w:r>
      <w:r>
        <w:rPr>
          <w:rFonts w:ascii="Calibri" w:eastAsia="Times New Roman" w:hAnsi="Calibri" w:cs="Calibri"/>
          <w:color w:val="000000" w:themeColor="accent6"/>
          <w:sz w:val="18"/>
          <w:szCs w:val="18"/>
        </w:rPr>
        <w:t>3</w:t>
      </w:r>
      <w:r w:rsidRPr="00A61C28">
        <w:rPr>
          <w:rFonts w:ascii="Calibri" w:eastAsia="Times New Roman" w:hAnsi="Calibri" w:cs="Calibri"/>
          <w:color w:val="000000" w:themeColor="accent6"/>
          <w:sz w:val="18"/>
          <w:szCs w:val="18"/>
        </w:rPr>
        <w:t xml:space="preserve">: </w:t>
      </w:r>
      <w:r>
        <w:rPr>
          <w:rFonts w:ascii="Calibri" w:eastAsia="Times New Roman" w:hAnsi="Calibri" w:cs="Calibri"/>
          <w:color w:val="000000" w:themeColor="accent6"/>
          <w:sz w:val="18"/>
          <w:szCs w:val="18"/>
        </w:rPr>
        <w:t xml:space="preserve">Forholdet </w:t>
      </w:r>
      <w:r w:rsidR="0021278F">
        <w:rPr>
          <w:rFonts w:ascii="Calibri" w:eastAsia="Times New Roman" w:hAnsi="Calibri" w:cs="Calibri"/>
          <w:color w:val="000000" w:themeColor="accent6"/>
          <w:sz w:val="18"/>
          <w:szCs w:val="18"/>
        </w:rPr>
        <w:t xml:space="preserve">mellom finansierte </w:t>
      </w:r>
      <w:r>
        <w:rPr>
          <w:rFonts w:ascii="Calibri" w:eastAsia="Times New Roman" w:hAnsi="Calibri" w:cs="Calibri"/>
          <w:color w:val="000000" w:themeColor="accent6"/>
          <w:sz w:val="18"/>
          <w:szCs w:val="18"/>
        </w:rPr>
        <w:t>doktorgrad- og postdoktorårsverk og</w:t>
      </w:r>
      <w:r w:rsidR="00E07341">
        <w:rPr>
          <w:rFonts w:ascii="Calibri" w:eastAsia="Times New Roman" w:hAnsi="Calibri" w:cs="Calibri"/>
          <w:color w:val="000000" w:themeColor="accent6"/>
          <w:sz w:val="18"/>
          <w:szCs w:val="18"/>
        </w:rPr>
        <w:t xml:space="preserve"> porteføljenes</w:t>
      </w:r>
      <w:r>
        <w:rPr>
          <w:rFonts w:ascii="Calibri" w:eastAsia="Times New Roman" w:hAnsi="Calibri" w:cs="Calibri"/>
          <w:color w:val="000000" w:themeColor="accent6"/>
          <w:sz w:val="18"/>
          <w:szCs w:val="18"/>
        </w:rPr>
        <w:t xml:space="preserve"> </w:t>
      </w:r>
      <w:r w:rsidR="00120A8E">
        <w:rPr>
          <w:rFonts w:ascii="Calibri" w:eastAsia="Times New Roman" w:hAnsi="Calibri" w:cs="Calibri"/>
          <w:color w:val="000000" w:themeColor="accent6"/>
          <w:sz w:val="18"/>
          <w:szCs w:val="18"/>
        </w:rPr>
        <w:t>total</w:t>
      </w:r>
      <w:r>
        <w:rPr>
          <w:rFonts w:ascii="Calibri" w:eastAsia="Times New Roman" w:hAnsi="Calibri" w:cs="Calibri"/>
          <w:color w:val="000000" w:themeColor="accent6"/>
          <w:sz w:val="18"/>
          <w:szCs w:val="18"/>
        </w:rPr>
        <w:t xml:space="preserve">budsjett </w:t>
      </w:r>
      <w:r w:rsidR="00586DAE">
        <w:rPr>
          <w:rFonts w:ascii="Calibri" w:eastAsia="Times New Roman" w:hAnsi="Calibri" w:cs="Calibri"/>
          <w:color w:val="000000" w:themeColor="accent6"/>
          <w:sz w:val="18"/>
          <w:szCs w:val="18"/>
        </w:rPr>
        <w:t>(</w:t>
      </w:r>
      <w:r>
        <w:rPr>
          <w:rFonts w:ascii="Calibri" w:eastAsia="Times New Roman" w:hAnsi="Calibri" w:cs="Calibri"/>
          <w:color w:val="000000" w:themeColor="accent6"/>
          <w:sz w:val="18"/>
          <w:szCs w:val="18"/>
        </w:rPr>
        <w:t>2019-2021</w:t>
      </w:r>
      <w:r w:rsidR="00586DAE">
        <w:rPr>
          <w:rFonts w:ascii="Calibri" w:eastAsia="Times New Roman" w:hAnsi="Calibri" w:cs="Calibri"/>
          <w:color w:val="000000" w:themeColor="accent6"/>
          <w:sz w:val="18"/>
          <w:szCs w:val="18"/>
        </w:rPr>
        <w:t>)</w:t>
      </w:r>
      <w:r>
        <w:rPr>
          <w:rFonts w:ascii="Calibri" w:eastAsia="Times New Roman" w:hAnsi="Calibri" w:cs="Calibri"/>
          <w:color w:val="000000" w:themeColor="accent6"/>
          <w:sz w:val="18"/>
          <w:szCs w:val="18"/>
        </w:rPr>
        <w:t>.</w:t>
      </w:r>
    </w:p>
    <w:tbl>
      <w:tblPr>
        <w:tblW w:w="9350" w:type="dxa"/>
        <w:tblLook w:val="04A0" w:firstRow="1" w:lastRow="0" w:firstColumn="1" w:lastColumn="0" w:noHBand="0" w:noVBand="1"/>
      </w:tblPr>
      <w:tblGrid>
        <w:gridCol w:w="3601"/>
        <w:gridCol w:w="1975"/>
        <w:gridCol w:w="1858"/>
        <w:gridCol w:w="1412"/>
        <w:gridCol w:w="1109"/>
      </w:tblGrid>
      <w:tr w:rsidR="00426236" w:rsidRPr="00426236" w14:paraId="3DE3CE04" w14:textId="77777777" w:rsidTr="00426236">
        <w:trPr>
          <w:trHeight w:val="615"/>
        </w:trPr>
        <w:tc>
          <w:tcPr>
            <w:tcW w:w="3601" w:type="dxa"/>
            <w:tcBorders>
              <w:top w:val="single" w:sz="4" w:space="0" w:color="auto"/>
              <w:left w:val="single" w:sz="4" w:space="0" w:color="auto"/>
              <w:bottom w:val="nil"/>
              <w:right w:val="nil"/>
            </w:tcBorders>
            <w:shd w:val="clear" w:color="000000" w:fill="E7E6E6"/>
            <w:noWrap/>
            <w:vAlign w:val="bottom"/>
            <w:hideMark/>
          </w:tcPr>
          <w:p w14:paraId="0ACFEA59" w14:textId="77777777" w:rsidR="00426236" w:rsidRPr="00085640" w:rsidRDefault="00426236" w:rsidP="00426236">
            <w:pPr>
              <w:spacing w:after="0" w:line="240" w:lineRule="auto"/>
              <w:rPr>
                <w:rFonts w:ascii="Calibri" w:eastAsia="Times New Roman" w:hAnsi="Calibri" w:cs="Calibri"/>
                <w:color w:val="000000"/>
              </w:rPr>
            </w:pPr>
            <w:r w:rsidRPr="00085640">
              <w:rPr>
                <w:rFonts w:ascii="Calibri" w:eastAsia="Times New Roman" w:hAnsi="Calibri" w:cs="Calibri"/>
                <w:color w:val="000000"/>
              </w:rPr>
              <w:t> </w:t>
            </w:r>
          </w:p>
        </w:tc>
        <w:tc>
          <w:tcPr>
            <w:tcW w:w="1771" w:type="dxa"/>
            <w:tcBorders>
              <w:top w:val="single" w:sz="4" w:space="0" w:color="auto"/>
              <w:left w:val="nil"/>
              <w:bottom w:val="nil"/>
              <w:right w:val="nil"/>
            </w:tcBorders>
            <w:shd w:val="clear" w:color="000000" w:fill="E7E6E6"/>
            <w:noWrap/>
            <w:vAlign w:val="bottom"/>
            <w:hideMark/>
          </w:tcPr>
          <w:p w14:paraId="655E0C7B"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Doktorgradsårsverk</w:t>
            </w:r>
          </w:p>
        </w:tc>
        <w:tc>
          <w:tcPr>
            <w:tcW w:w="1655" w:type="dxa"/>
            <w:tcBorders>
              <w:top w:val="single" w:sz="4" w:space="0" w:color="auto"/>
              <w:left w:val="nil"/>
              <w:bottom w:val="nil"/>
              <w:right w:val="nil"/>
            </w:tcBorders>
            <w:shd w:val="clear" w:color="000000" w:fill="E7E6E6"/>
            <w:noWrap/>
            <w:vAlign w:val="bottom"/>
            <w:hideMark/>
          </w:tcPr>
          <w:p w14:paraId="6411B4B5"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Postdoktorårsverk</w:t>
            </w:r>
          </w:p>
        </w:tc>
        <w:tc>
          <w:tcPr>
            <w:tcW w:w="1214" w:type="dxa"/>
            <w:tcBorders>
              <w:top w:val="single" w:sz="4" w:space="0" w:color="auto"/>
              <w:left w:val="nil"/>
              <w:bottom w:val="nil"/>
              <w:right w:val="nil"/>
            </w:tcBorders>
            <w:shd w:val="clear" w:color="000000" w:fill="E7E6E6"/>
            <w:vAlign w:val="bottom"/>
            <w:hideMark/>
          </w:tcPr>
          <w:p w14:paraId="164E5E6C"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 xml:space="preserve">Totalbudsjett (mill.kr.) </w:t>
            </w:r>
          </w:p>
        </w:tc>
        <w:tc>
          <w:tcPr>
            <w:tcW w:w="1109" w:type="dxa"/>
            <w:tcBorders>
              <w:top w:val="single" w:sz="4" w:space="0" w:color="auto"/>
              <w:left w:val="nil"/>
              <w:bottom w:val="nil"/>
              <w:right w:val="single" w:sz="4" w:space="0" w:color="auto"/>
            </w:tcBorders>
            <w:shd w:val="clear" w:color="000000" w:fill="E7E6E6"/>
            <w:noWrap/>
            <w:vAlign w:val="bottom"/>
            <w:hideMark/>
          </w:tcPr>
          <w:p w14:paraId="57890078"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 xml:space="preserve">Andel </w:t>
            </w:r>
          </w:p>
        </w:tc>
      </w:tr>
      <w:tr w:rsidR="00426236" w:rsidRPr="00426236" w14:paraId="1221C0CC" w14:textId="77777777" w:rsidTr="00426236">
        <w:trPr>
          <w:trHeight w:val="300"/>
        </w:trPr>
        <w:tc>
          <w:tcPr>
            <w:tcW w:w="3601" w:type="dxa"/>
            <w:tcBorders>
              <w:top w:val="single" w:sz="8" w:space="0" w:color="auto"/>
              <w:left w:val="single" w:sz="8" w:space="0" w:color="auto"/>
              <w:bottom w:val="nil"/>
              <w:right w:val="nil"/>
            </w:tcBorders>
            <w:shd w:val="clear" w:color="auto" w:fill="auto"/>
            <w:noWrap/>
            <w:vAlign w:val="center"/>
            <w:hideMark/>
          </w:tcPr>
          <w:p w14:paraId="676341CC"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Demokrati, styring og fornyelse</w:t>
            </w:r>
          </w:p>
        </w:tc>
        <w:tc>
          <w:tcPr>
            <w:tcW w:w="1771" w:type="dxa"/>
            <w:tcBorders>
              <w:top w:val="single" w:sz="8" w:space="0" w:color="auto"/>
              <w:left w:val="nil"/>
              <w:bottom w:val="nil"/>
              <w:right w:val="nil"/>
            </w:tcBorders>
            <w:shd w:val="clear" w:color="auto" w:fill="auto"/>
            <w:noWrap/>
            <w:vAlign w:val="bottom"/>
            <w:hideMark/>
          </w:tcPr>
          <w:p w14:paraId="65E020D9"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257</w:t>
            </w:r>
          </w:p>
        </w:tc>
        <w:tc>
          <w:tcPr>
            <w:tcW w:w="1655" w:type="dxa"/>
            <w:tcBorders>
              <w:top w:val="single" w:sz="8" w:space="0" w:color="auto"/>
              <w:left w:val="nil"/>
              <w:bottom w:val="nil"/>
              <w:right w:val="nil"/>
            </w:tcBorders>
            <w:shd w:val="clear" w:color="auto" w:fill="auto"/>
            <w:noWrap/>
            <w:vAlign w:val="bottom"/>
            <w:hideMark/>
          </w:tcPr>
          <w:p w14:paraId="62591AB1"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26</w:t>
            </w:r>
          </w:p>
        </w:tc>
        <w:tc>
          <w:tcPr>
            <w:tcW w:w="1214" w:type="dxa"/>
            <w:tcBorders>
              <w:top w:val="single" w:sz="8" w:space="0" w:color="auto"/>
              <w:left w:val="nil"/>
              <w:bottom w:val="nil"/>
              <w:right w:val="nil"/>
            </w:tcBorders>
            <w:shd w:val="clear" w:color="auto" w:fill="auto"/>
            <w:noWrap/>
            <w:vAlign w:val="bottom"/>
            <w:hideMark/>
          </w:tcPr>
          <w:p w14:paraId="0F61EDCB"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534</w:t>
            </w:r>
          </w:p>
        </w:tc>
        <w:tc>
          <w:tcPr>
            <w:tcW w:w="1109" w:type="dxa"/>
            <w:tcBorders>
              <w:top w:val="single" w:sz="8" w:space="0" w:color="auto"/>
              <w:left w:val="nil"/>
              <w:bottom w:val="nil"/>
              <w:right w:val="single" w:sz="8" w:space="0" w:color="auto"/>
            </w:tcBorders>
            <w:shd w:val="clear" w:color="auto" w:fill="auto"/>
            <w:noWrap/>
            <w:vAlign w:val="bottom"/>
            <w:hideMark/>
          </w:tcPr>
          <w:p w14:paraId="3AEC3108"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0,53</w:t>
            </w:r>
          </w:p>
        </w:tc>
      </w:tr>
      <w:tr w:rsidR="00426236" w:rsidRPr="00426236" w14:paraId="2C49888A"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33EE1120"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Energi, transport og lavutslipp</w:t>
            </w:r>
          </w:p>
        </w:tc>
        <w:tc>
          <w:tcPr>
            <w:tcW w:w="1771" w:type="dxa"/>
            <w:tcBorders>
              <w:top w:val="nil"/>
              <w:left w:val="nil"/>
              <w:bottom w:val="nil"/>
              <w:right w:val="nil"/>
            </w:tcBorders>
            <w:shd w:val="clear" w:color="auto" w:fill="auto"/>
            <w:noWrap/>
            <w:vAlign w:val="bottom"/>
            <w:hideMark/>
          </w:tcPr>
          <w:p w14:paraId="4F13C93F"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511</w:t>
            </w:r>
          </w:p>
        </w:tc>
        <w:tc>
          <w:tcPr>
            <w:tcW w:w="1655" w:type="dxa"/>
            <w:tcBorders>
              <w:top w:val="nil"/>
              <w:left w:val="nil"/>
              <w:bottom w:val="nil"/>
              <w:right w:val="nil"/>
            </w:tcBorders>
            <w:shd w:val="clear" w:color="auto" w:fill="auto"/>
            <w:noWrap/>
            <w:vAlign w:val="bottom"/>
            <w:hideMark/>
          </w:tcPr>
          <w:p w14:paraId="451C60CF"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192</w:t>
            </w:r>
          </w:p>
        </w:tc>
        <w:tc>
          <w:tcPr>
            <w:tcW w:w="1214" w:type="dxa"/>
            <w:tcBorders>
              <w:top w:val="nil"/>
              <w:left w:val="nil"/>
              <w:bottom w:val="nil"/>
              <w:right w:val="nil"/>
            </w:tcBorders>
            <w:shd w:val="clear" w:color="auto" w:fill="auto"/>
            <w:noWrap/>
            <w:vAlign w:val="bottom"/>
            <w:hideMark/>
          </w:tcPr>
          <w:p w14:paraId="6CBAC6C1"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2659</w:t>
            </w:r>
          </w:p>
        </w:tc>
        <w:tc>
          <w:tcPr>
            <w:tcW w:w="1109" w:type="dxa"/>
            <w:tcBorders>
              <w:top w:val="nil"/>
              <w:left w:val="nil"/>
              <w:bottom w:val="nil"/>
              <w:right w:val="single" w:sz="8" w:space="0" w:color="auto"/>
            </w:tcBorders>
            <w:shd w:val="clear" w:color="auto" w:fill="auto"/>
            <w:noWrap/>
            <w:vAlign w:val="bottom"/>
            <w:hideMark/>
          </w:tcPr>
          <w:p w14:paraId="5467C6FC"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0,26</w:t>
            </w:r>
          </w:p>
        </w:tc>
      </w:tr>
      <w:tr w:rsidR="00426236" w:rsidRPr="00426236" w14:paraId="262962D4"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1C07EB8E"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Global utvikling</w:t>
            </w:r>
          </w:p>
        </w:tc>
        <w:tc>
          <w:tcPr>
            <w:tcW w:w="1771" w:type="dxa"/>
            <w:tcBorders>
              <w:top w:val="nil"/>
              <w:left w:val="nil"/>
              <w:bottom w:val="nil"/>
              <w:right w:val="nil"/>
            </w:tcBorders>
            <w:shd w:val="clear" w:color="auto" w:fill="auto"/>
            <w:noWrap/>
            <w:vAlign w:val="bottom"/>
            <w:hideMark/>
          </w:tcPr>
          <w:p w14:paraId="76E45CC2"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94</w:t>
            </w:r>
          </w:p>
        </w:tc>
        <w:tc>
          <w:tcPr>
            <w:tcW w:w="1655" w:type="dxa"/>
            <w:tcBorders>
              <w:top w:val="nil"/>
              <w:left w:val="nil"/>
              <w:bottom w:val="nil"/>
              <w:right w:val="nil"/>
            </w:tcBorders>
            <w:shd w:val="clear" w:color="auto" w:fill="auto"/>
            <w:noWrap/>
            <w:vAlign w:val="bottom"/>
            <w:hideMark/>
          </w:tcPr>
          <w:p w14:paraId="31C764D4"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54</w:t>
            </w:r>
          </w:p>
        </w:tc>
        <w:tc>
          <w:tcPr>
            <w:tcW w:w="1214" w:type="dxa"/>
            <w:tcBorders>
              <w:top w:val="nil"/>
              <w:left w:val="nil"/>
              <w:bottom w:val="nil"/>
              <w:right w:val="nil"/>
            </w:tcBorders>
            <w:shd w:val="clear" w:color="auto" w:fill="auto"/>
            <w:noWrap/>
            <w:vAlign w:val="bottom"/>
            <w:hideMark/>
          </w:tcPr>
          <w:p w14:paraId="4973F7A6"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614</w:t>
            </w:r>
          </w:p>
        </w:tc>
        <w:tc>
          <w:tcPr>
            <w:tcW w:w="1109" w:type="dxa"/>
            <w:tcBorders>
              <w:top w:val="nil"/>
              <w:left w:val="nil"/>
              <w:bottom w:val="nil"/>
              <w:right w:val="single" w:sz="8" w:space="0" w:color="auto"/>
            </w:tcBorders>
            <w:shd w:val="clear" w:color="auto" w:fill="auto"/>
            <w:noWrap/>
            <w:vAlign w:val="bottom"/>
            <w:hideMark/>
          </w:tcPr>
          <w:p w14:paraId="00F084F5"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0,24</w:t>
            </w:r>
          </w:p>
        </w:tc>
      </w:tr>
      <w:tr w:rsidR="00426236" w:rsidRPr="00426236" w14:paraId="4189A969"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1CC11EDC"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Hav</w:t>
            </w:r>
          </w:p>
        </w:tc>
        <w:tc>
          <w:tcPr>
            <w:tcW w:w="1771" w:type="dxa"/>
            <w:tcBorders>
              <w:top w:val="nil"/>
              <w:left w:val="nil"/>
              <w:bottom w:val="nil"/>
              <w:right w:val="nil"/>
            </w:tcBorders>
            <w:shd w:val="clear" w:color="auto" w:fill="auto"/>
            <w:noWrap/>
            <w:vAlign w:val="bottom"/>
            <w:hideMark/>
          </w:tcPr>
          <w:p w14:paraId="37C9939C"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158</w:t>
            </w:r>
          </w:p>
        </w:tc>
        <w:tc>
          <w:tcPr>
            <w:tcW w:w="1655" w:type="dxa"/>
            <w:tcBorders>
              <w:top w:val="nil"/>
              <w:left w:val="nil"/>
              <w:bottom w:val="nil"/>
              <w:right w:val="nil"/>
            </w:tcBorders>
            <w:shd w:val="clear" w:color="auto" w:fill="auto"/>
            <w:noWrap/>
            <w:vAlign w:val="bottom"/>
            <w:hideMark/>
          </w:tcPr>
          <w:p w14:paraId="4B3093E9"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147</w:t>
            </w:r>
          </w:p>
        </w:tc>
        <w:tc>
          <w:tcPr>
            <w:tcW w:w="1214" w:type="dxa"/>
            <w:tcBorders>
              <w:top w:val="nil"/>
              <w:left w:val="nil"/>
              <w:bottom w:val="nil"/>
              <w:right w:val="nil"/>
            </w:tcBorders>
            <w:shd w:val="clear" w:color="auto" w:fill="auto"/>
            <w:noWrap/>
            <w:vAlign w:val="bottom"/>
            <w:hideMark/>
          </w:tcPr>
          <w:p w14:paraId="21A737B3"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1634</w:t>
            </w:r>
          </w:p>
        </w:tc>
        <w:tc>
          <w:tcPr>
            <w:tcW w:w="1109" w:type="dxa"/>
            <w:tcBorders>
              <w:top w:val="nil"/>
              <w:left w:val="nil"/>
              <w:bottom w:val="nil"/>
              <w:right w:val="single" w:sz="8" w:space="0" w:color="auto"/>
            </w:tcBorders>
            <w:shd w:val="clear" w:color="auto" w:fill="auto"/>
            <w:noWrap/>
            <w:vAlign w:val="bottom"/>
            <w:hideMark/>
          </w:tcPr>
          <w:p w14:paraId="271090A4"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0,19</w:t>
            </w:r>
          </w:p>
        </w:tc>
      </w:tr>
      <w:tr w:rsidR="00426236" w:rsidRPr="00426236" w14:paraId="4A200E74"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59350612"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Helse</w:t>
            </w:r>
          </w:p>
        </w:tc>
        <w:tc>
          <w:tcPr>
            <w:tcW w:w="1771" w:type="dxa"/>
            <w:tcBorders>
              <w:top w:val="nil"/>
              <w:left w:val="nil"/>
              <w:bottom w:val="nil"/>
              <w:right w:val="nil"/>
            </w:tcBorders>
            <w:shd w:val="clear" w:color="auto" w:fill="auto"/>
            <w:noWrap/>
            <w:vAlign w:val="bottom"/>
            <w:hideMark/>
          </w:tcPr>
          <w:p w14:paraId="6236D414"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321</w:t>
            </w:r>
          </w:p>
        </w:tc>
        <w:tc>
          <w:tcPr>
            <w:tcW w:w="1655" w:type="dxa"/>
            <w:tcBorders>
              <w:top w:val="nil"/>
              <w:left w:val="nil"/>
              <w:bottom w:val="nil"/>
              <w:right w:val="nil"/>
            </w:tcBorders>
            <w:shd w:val="clear" w:color="auto" w:fill="auto"/>
            <w:noWrap/>
            <w:vAlign w:val="bottom"/>
            <w:hideMark/>
          </w:tcPr>
          <w:p w14:paraId="6C72E08D"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184</w:t>
            </w:r>
          </w:p>
        </w:tc>
        <w:tc>
          <w:tcPr>
            <w:tcW w:w="1214" w:type="dxa"/>
            <w:tcBorders>
              <w:top w:val="nil"/>
              <w:left w:val="nil"/>
              <w:bottom w:val="nil"/>
              <w:right w:val="nil"/>
            </w:tcBorders>
            <w:shd w:val="clear" w:color="auto" w:fill="auto"/>
            <w:noWrap/>
            <w:vAlign w:val="bottom"/>
            <w:hideMark/>
          </w:tcPr>
          <w:p w14:paraId="0E1D6089"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1561</w:t>
            </w:r>
          </w:p>
        </w:tc>
        <w:tc>
          <w:tcPr>
            <w:tcW w:w="1109" w:type="dxa"/>
            <w:tcBorders>
              <w:top w:val="nil"/>
              <w:left w:val="nil"/>
              <w:bottom w:val="nil"/>
              <w:right w:val="single" w:sz="8" w:space="0" w:color="auto"/>
            </w:tcBorders>
            <w:shd w:val="clear" w:color="auto" w:fill="auto"/>
            <w:noWrap/>
            <w:vAlign w:val="bottom"/>
            <w:hideMark/>
          </w:tcPr>
          <w:p w14:paraId="180D1D0C"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0,32</w:t>
            </w:r>
          </w:p>
        </w:tc>
      </w:tr>
      <w:tr w:rsidR="00426236" w:rsidRPr="00426236" w14:paraId="1E6410BB"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4AD761B7"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Humaniora og samfunnsvitenskap</w:t>
            </w:r>
          </w:p>
        </w:tc>
        <w:tc>
          <w:tcPr>
            <w:tcW w:w="1771" w:type="dxa"/>
            <w:tcBorders>
              <w:top w:val="nil"/>
              <w:left w:val="nil"/>
              <w:bottom w:val="nil"/>
              <w:right w:val="nil"/>
            </w:tcBorders>
            <w:shd w:val="clear" w:color="auto" w:fill="auto"/>
            <w:noWrap/>
            <w:vAlign w:val="bottom"/>
            <w:hideMark/>
          </w:tcPr>
          <w:p w14:paraId="43CC80B2"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228</w:t>
            </w:r>
          </w:p>
        </w:tc>
        <w:tc>
          <w:tcPr>
            <w:tcW w:w="1655" w:type="dxa"/>
            <w:tcBorders>
              <w:top w:val="nil"/>
              <w:left w:val="nil"/>
              <w:bottom w:val="nil"/>
              <w:right w:val="nil"/>
            </w:tcBorders>
            <w:shd w:val="clear" w:color="auto" w:fill="auto"/>
            <w:noWrap/>
            <w:vAlign w:val="bottom"/>
            <w:hideMark/>
          </w:tcPr>
          <w:p w14:paraId="177216FD"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199</w:t>
            </w:r>
          </w:p>
        </w:tc>
        <w:tc>
          <w:tcPr>
            <w:tcW w:w="1214" w:type="dxa"/>
            <w:tcBorders>
              <w:top w:val="nil"/>
              <w:left w:val="nil"/>
              <w:bottom w:val="nil"/>
              <w:right w:val="nil"/>
            </w:tcBorders>
            <w:shd w:val="clear" w:color="auto" w:fill="auto"/>
            <w:noWrap/>
            <w:vAlign w:val="bottom"/>
            <w:hideMark/>
          </w:tcPr>
          <w:p w14:paraId="0EE8B816"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934</w:t>
            </w:r>
          </w:p>
        </w:tc>
        <w:tc>
          <w:tcPr>
            <w:tcW w:w="1109" w:type="dxa"/>
            <w:tcBorders>
              <w:top w:val="nil"/>
              <w:left w:val="nil"/>
              <w:bottom w:val="nil"/>
              <w:right w:val="single" w:sz="8" w:space="0" w:color="auto"/>
            </w:tcBorders>
            <w:shd w:val="clear" w:color="auto" w:fill="auto"/>
            <w:noWrap/>
            <w:vAlign w:val="bottom"/>
            <w:hideMark/>
          </w:tcPr>
          <w:p w14:paraId="10EAE51C"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0,46</w:t>
            </w:r>
          </w:p>
        </w:tc>
      </w:tr>
      <w:tr w:rsidR="00426236" w:rsidRPr="00426236" w14:paraId="0D6F72AA"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7FE29A31"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Industri og tjenestenæringer</w:t>
            </w:r>
          </w:p>
        </w:tc>
        <w:tc>
          <w:tcPr>
            <w:tcW w:w="1771" w:type="dxa"/>
            <w:tcBorders>
              <w:top w:val="nil"/>
              <w:left w:val="nil"/>
              <w:bottom w:val="nil"/>
              <w:right w:val="nil"/>
            </w:tcBorders>
            <w:shd w:val="clear" w:color="auto" w:fill="auto"/>
            <w:noWrap/>
            <w:vAlign w:val="bottom"/>
            <w:hideMark/>
          </w:tcPr>
          <w:p w14:paraId="334235D9"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149</w:t>
            </w:r>
          </w:p>
        </w:tc>
        <w:tc>
          <w:tcPr>
            <w:tcW w:w="1655" w:type="dxa"/>
            <w:tcBorders>
              <w:top w:val="nil"/>
              <w:left w:val="nil"/>
              <w:bottom w:val="nil"/>
              <w:right w:val="nil"/>
            </w:tcBorders>
            <w:shd w:val="clear" w:color="auto" w:fill="auto"/>
            <w:noWrap/>
            <w:vAlign w:val="bottom"/>
            <w:hideMark/>
          </w:tcPr>
          <w:p w14:paraId="0E189CFA"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68</w:t>
            </w:r>
          </w:p>
        </w:tc>
        <w:tc>
          <w:tcPr>
            <w:tcW w:w="1214" w:type="dxa"/>
            <w:tcBorders>
              <w:top w:val="nil"/>
              <w:left w:val="nil"/>
              <w:bottom w:val="nil"/>
              <w:right w:val="nil"/>
            </w:tcBorders>
            <w:shd w:val="clear" w:color="auto" w:fill="auto"/>
            <w:noWrap/>
            <w:vAlign w:val="bottom"/>
            <w:hideMark/>
          </w:tcPr>
          <w:p w14:paraId="614ADFCF"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3079</w:t>
            </w:r>
          </w:p>
        </w:tc>
        <w:tc>
          <w:tcPr>
            <w:tcW w:w="1109" w:type="dxa"/>
            <w:tcBorders>
              <w:top w:val="nil"/>
              <w:left w:val="nil"/>
              <w:bottom w:val="nil"/>
              <w:right w:val="single" w:sz="8" w:space="0" w:color="auto"/>
            </w:tcBorders>
            <w:shd w:val="clear" w:color="auto" w:fill="auto"/>
            <w:noWrap/>
            <w:vAlign w:val="bottom"/>
            <w:hideMark/>
          </w:tcPr>
          <w:p w14:paraId="107902DC"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0,07</w:t>
            </w:r>
          </w:p>
        </w:tc>
      </w:tr>
      <w:tr w:rsidR="00426236" w:rsidRPr="00426236" w14:paraId="0D6DAAA0"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078E94D7"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Klima- og polarforskning</w:t>
            </w:r>
          </w:p>
        </w:tc>
        <w:tc>
          <w:tcPr>
            <w:tcW w:w="1771" w:type="dxa"/>
            <w:tcBorders>
              <w:top w:val="nil"/>
              <w:left w:val="nil"/>
              <w:bottom w:val="nil"/>
              <w:right w:val="nil"/>
            </w:tcBorders>
            <w:shd w:val="clear" w:color="auto" w:fill="auto"/>
            <w:noWrap/>
            <w:vAlign w:val="bottom"/>
            <w:hideMark/>
          </w:tcPr>
          <w:p w14:paraId="03F0AE9C"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102</w:t>
            </w:r>
          </w:p>
        </w:tc>
        <w:tc>
          <w:tcPr>
            <w:tcW w:w="1655" w:type="dxa"/>
            <w:tcBorders>
              <w:top w:val="nil"/>
              <w:left w:val="nil"/>
              <w:bottom w:val="nil"/>
              <w:right w:val="nil"/>
            </w:tcBorders>
            <w:shd w:val="clear" w:color="auto" w:fill="auto"/>
            <w:noWrap/>
            <w:vAlign w:val="bottom"/>
            <w:hideMark/>
          </w:tcPr>
          <w:p w14:paraId="43675A7B"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109</w:t>
            </w:r>
          </w:p>
        </w:tc>
        <w:tc>
          <w:tcPr>
            <w:tcW w:w="1214" w:type="dxa"/>
            <w:tcBorders>
              <w:top w:val="nil"/>
              <w:left w:val="nil"/>
              <w:bottom w:val="nil"/>
              <w:right w:val="nil"/>
            </w:tcBorders>
            <w:shd w:val="clear" w:color="auto" w:fill="auto"/>
            <w:noWrap/>
            <w:vAlign w:val="bottom"/>
            <w:hideMark/>
          </w:tcPr>
          <w:p w14:paraId="6F070948"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923</w:t>
            </w:r>
          </w:p>
        </w:tc>
        <w:tc>
          <w:tcPr>
            <w:tcW w:w="1109" w:type="dxa"/>
            <w:tcBorders>
              <w:top w:val="nil"/>
              <w:left w:val="nil"/>
              <w:bottom w:val="nil"/>
              <w:right w:val="single" w:sz="8" w:space="0" w:color="auto"/>
            </w:tcBorders>
            <w:shd w:val="clear" w:color="auto" w:fill="auto"/>
            <w:noWrap/>
            <w:vAlign w:val="bottom"/>
            <w:hideMark/>
          </w:tcPr>
          <w:p w14:paraId="7BFBFEDF"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0,23</w:t>
            </w:r>
          </w:p>
        </w:tc>
      </w:tr>
      <w:tr w:rsidR="00426236" w:rsidRPr="00426236" w14:paraId="7A5D3BED"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4337681C" w14:textId="77777777" w:rsidR="00426236" w:rsidRPr="00426236" w:rsidRDefault="00426236" w:rsidP="00426236">
            <w:pPr>
              <w:spacing w:after="0" w:line="240" w:lineRule="auto"/>
              <w:rPr>
                <w:rFonts w:ascii="Calibri" w:eastAsia="Times New Roman" w:hAnsi="Calibri" w:cs="Calibri"/>
                <w:color w:val="000000"/>
              </w:rPr>
            </w:pPr>
            <w:r w:rsidRPr="00426236">
              <w:rPr>
                <w:rFonts w:ascii="Calibri" w:eastAsia="Times New Roman" w:hAnsi="Calibri" w:cs="Calibri"/>
                <w:color w:val="000000"/>
              </w:rPr>
              <w:t>Landbasert mat, miljø og bioressurser</w:t>
            </w:r>
          </w:p>
        </w:tc>
        <w:tc>
          <w:tcPr>
            <w:tcW w:w="1771" w:type="dxa"/>
            <w:tcBorders>
              <w:top w:val="nil"/>
              <w:left w:val="nil"/>
              <w:bottom w:val="nil"/>
              <w:right w:val="nil"/>
            </w:tcBorders>
            <w:shd w:val="clear" w:color="auto" w:fill="auto"/>
            <w:noWrap/>
            <w:vAlign w:val="bottom"/>
            <w:hideMark/>
          </w:tcPr>
          <w:p w14:paraId="3FA1C58D"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99</w:t>
            </w:r>
          </w:p>
        </w:tc>
        <w:tc>
          <w:tcPr>
            <w:tcW w:w="1655" w:type="dxa"/>
            <w:tcBorders>
              <w:top w:val="nil"/>
              <w:left w:val="nil"/>
              <w:bottom w:val="nil"/>
              <w:right w:val="nil"/>
            </w:tcBorders>
            <w:shd w:val="clear" w:color="auto" w:fill="auto"/>
            <w:noWrap/>
            <w:vAlign w:val="bottom"/>
            <w:hideMark/>
          </w:tcPr>
          <w:p w14:paraId="3C2481B9"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99</w:t>
            </w:r>
          </w:p>
        </w:tc>
        <w:tc>
          <w:tcPr>
            <w:tcW w:w="1214" w:type="dxa"/>
            <w:tcBorders>
              <w:top w:val="nil"/>
              <w:left w:val="nil"/>
              <w:bottom w:val="nil"/>
              <w:right w:val="nil"/>
            </w:tcBorders>
            <w:shd w:val="clear" w:color="auto" w:fill="auto"/>
            <w:noWrap/>
            <w:vAlign w:val="bottom"/>
            <w:hideMark/>
          </w:tcPr>
          <w:p w14:paraId="5F916554"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933</w:t>
            </w:r>
          </w:p>
        </w:tc>
        <w:tc>
          <w:tcPr>
            <w:tcW w:w="1109" w:type="dxa"/>
            <w:tcBorders>
              <w:top w:val="nil"/>
              <w:left w:val="nil"/>
              <w:bottom w:val="nil"/>
              <w:right w:val="single" w:sz="8" w:space="0" w:color="auto"/>
            </w:tcBorders>
            <w:shd w:val="clear" w:color="auto" w:fill="auto"/>
            <w:noWrap/>
            <w:vAlign w:val="bottom"/>
            <w:hideMark/>
          </w:tcPr>
          <w:p w14:paraId="67E94086"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0,21</w:t>
            </w:r>
          </w:p>
        </w:tc>
      </w:tr>
      <w:tr w:rsidR="00426236" w:rsidRPr="00426236" w14:paraId="11F4D641"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65D0FED6"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Livsvitenskap</w:t>
            </w:r>
          </w:p>
        </w:tc>
        <w:tc>
          <w:tcPr>
            <w:tcW w:w="1771" w:type="dxa"/>
            <w:tcBorders>
              <w:top w:val="nil"/>
              <w:left w:val="nil"/>
              <w:bottom w:val="nil"/>
              <w:right w:val="nil"/>
            </w:tcBorders>
            <w:shd w:val="clear" w:color="auto" w:fill="auto"/>
            <w:noWrap/>
            <w:vAlign w:val="bottom"/>
            <w:hideMark/>
          </w:tcPr>
          <w:p w14:paraId="1DCD4ECE"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306</w:t>
            </w:r>
          </w:p>
        </w:tc>
        <w:tc>
          <w:tcPr>
            <w:tcW w:w="1655" w:type="dxa"/>
            <w:tcBorders>
              <w:top w:val="nil"/>
              <w:left w:val="nil"/>
              <w:bottom w:val="nil"/>
              <w:right w:val="nil"/>
            </w:tcBorders>
            <w:shd w:val="clear" w:color="auto" w:fill="auto"/>
            <w:noWrap/>
            <w:vAlign w:val="bottom"/>
            <w:hideMark/>
          </w:tcPr>
          <w:p w14:paraId="6855005D"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494</w:t>
            </w:r>
          </w:p>
        </w:tc>
        <w:tc>
          <w:tcPr>
            <w:tcW w:w="1214" w:type="dxa"/>
            <w:tcBorders>
              <w:top w:val="nil"/>
              <w:left w:val="nil"/>
              <w:bottom w:val="nil"/>
              <w:right w:val="nil"/>
            </w:tcBorders>
            <w:shd w:val="clear" w:color="auto" w:fill="auto"/>
            <w:noWrap/>
            <w:vAlign w:val="bottom"/>
            <w:hideMark/>
          </w:tcPr>
          <w:p w14:paraId="1FFBCD39"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1522</w:t>
            </w:r>
          </w:p>
        </w:tc>
        <w:tc>
          <w:tcPr>
            <w:tcW w:w="1109" w:type="dxa"/>
            <w:tcBorders>
              <w:top w:val="nil"/>
              <w:left w:val="nil"/>
              <w:bottom w:val="nil"/>
              <w:right w:val="single" w:sz="8" w:space="0" w:color="auto"/>
            </w:tcBorders>
            <w:shd w:val="clear" w:color="auto" w:fill="auto"/>
            <w:noWrap/>
            <w:vAlign w:val="bottom"/>
            <w:hideMark/>
          </w:tcPr>
          <w:p w14:paraId="19FCCA98"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0,53</w:t>
            </w:r>
          </w:p>
        </w:tc>
      </w:tr>
      <w:tr w:rsidR="00426236" w:rsidRPr="00426236" w14:paraId="0ADAF88D"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78CC3574"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Muliggjørende teknologier</w:t>
            </w:r>
          </w:p>
        </w:tc>
        <w:tc>
          <w:tcPr>
            <w:tcW w:w="1771" w:type="dxa"/>
            <w:tcBorders>
              <w:top w:val="nil"/>
              <w:left w:val="nil"/>
              <w:bottom w:val="nil"/>
              <w:right w:val="nil"/>
            </w:tcBorders>
            <w:shd w:val="clear" w:color="auto" w:fill="auto"/>
            <w:noWrap/>
            <w:vAlign w:val="bottom"/>
            <w:hideMark/>
          </w:tcPr>
          <w:p w14:paraId="4D2BAC09"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426</w:t>
            </w:r>
          </w:p>
        </w:tc>
        <w:tc>
          <w:tcPr>
            <w:tcW w:w="1655" w:type="dxa"/>
            <w:tcBorders>
              <w:top w:val="nil"/>
              <w:left w:val="nil"/>
              <w:bottom w:val="nil"/>
              <w:right w:val="nil"/>
            </w:tcBorders>
            <w:shd w:val="clear" w:color="auto" w:fill="auto"/>
            <w:noWrap/>
            <w:vAlign w:val="bottom"/>
            <w:hideMark/>
          </w:tcPr>
          <w:p w14:paraId="1F73A9B7"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281</w:t>
            </w:r>
          </w:p>
        </w:tc>
        <w:tc>
          <w:tcPr>
            <w:tcW w:w="1214" w:type="dxa"/>
            <w:tcBorders>
              <w:top w:val="nil"/>
              <w:left w:val="nil"/>
              <w:bottom w:val="nil"/>
              <w:right w:val="nil"/>
            </w:tcBorders>
            <w:shd w:val="clear" w:color="auto" w:fill="auto"/>
            <w:noWrap/>
            <w:vAlign w:val="bottom"/>
            <w:hideMark/>
          </w:tcPr>
          <w:p w14:paraId="3342A028"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2438</w:t>
            </w:r>
          </w:p>
        </w:tc>
        <w:tc>
          <w:tcPr>
            <w:tcW w:w="1109" w:type="dxa"/>
            <w:tcBorders>
              <w:top w:val="nil"/>
              <w:left w:val="nil"/>
              <w:bottom w:val="nil"/>
              <w:right w:val="single" w:sz="8" w:space="0" w:color="auto"/>
            </w:tcBorders>
            <w:shd w:val="clear" w:color="auto" w:fill="auto"/>
            <w:noWrap/>
            <w:vAlign w:val="bottom"/>
            <w:hideMark/>
          </w:tcPr>
          <w:p w14:paraId="1E06EDBC"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0,29</w:t>
            </w:r>
          </w:p>
        </w:tc>
      </w:tr>
      <w:tr w:rsidR="00426236" w:rsidRPr="00426236" w14:paraId="3AF5F31E"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0D7DF5FE"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Naturvitenskap og teknologi</w:t>
            </w:r>
          </w:p>
        </w:tc>
        <w:tc>
          <w:tcPr>
            <w:tcW w:w="1771" w:type="dxa"/>
            <w:tcBorders>
              <w:top w:val="nil"/>
              <w:left w:val="nil"/>
              <w:bottom w:val="nil"/>
              <w:right w:val="nil"/>
            </w:tcBorders>
            <w:shd w:val="clear" w:color="auto" w:fill="auto"/>
            <w:noWrap/>
            <w:vAlign w:val="bottom"/>
            <w:hideMark/>
          </w:tcPr>
          <w:p w14:paraId="3452D0AA"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316</w:t>
            </w:r>
          </w:p>
        </w:tc>
        <w:tc>
          <w:tcPr>
            <w:tcW w:w="1655" w:type="dxa"/>
            <w:tcBorders>
              <w:top w:val="nil"/>
              <w:left w:val="nil"/>
              <w:bottom w:val="nil"/>
              <w:right w:val="nil"/>
            </w:tcBorders>
            <w:shd w:val="clear" w:color="auto" w:fill="auto"/>
            <w:noWrap/>
            <w:vAlign w:val="bottom"/>
            <w:hideMark/>
          </w:tcPr>
          <w:p w14:paraId="681BD6DB"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287</w:t>
            </w:r>
          </w:p>
        </w:tc>
        <w:tc>
          <w:tcPr>
            <w:tcW w:w="1214" w:type="dxa"/>
            <w:tcBorders>
              <w:top w:val="nil"/>
              <w:left w:val="nil"/>
              <w:bottom w:val="nil"/>
              <w:right w:val="nil"/>
            </w:tcBorders>
            <w:shd w:val="clear" w:color="auto" w:fill="auto"/>
            <w:noWrap/>
            <w:vAlign w:val="bottom"/>
            <w:hideMark/>
          </w:tcPr>
          <w:p w14:paraId="0F0E8C3E"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1199</w:t>
            </w:r>
          </w:p>
        </w:tc>
        <w:tc>
          <w:tcPr>
            <w:tcW w:w="1109" w:type="dxa"/>
            <w:tcBorders>
              <w:top w:val="nil"/>
              <w:left w:val="nil"/>
              <w:bottom w:val="nil"/>
              <w:right w:val="single" w:sz="8" w:space="0" w:color="auto"/>
            </w:tcBorders>
            <w:shd w:val="clear" w:color="auto" w:fill="auto"/>
            <w:noWrap/>
            <w:vAlign w:val="bottom"/>
            <w:hideMark/>
          </w:tcPr>
          <w:p w14:paraId="3C26E397"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0,50</w:t>
            </w:r>
          </w:p>
        </w:tc>
      </w:tr>
      <w:tr w:rsidR="00426236" w:rsidRPr="00426236" w14:paraId="4E424561"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087CA8E2"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Petroleum</w:t>
            </w:r>
          </w:p>
        </w:tc>
        <w:tc>
          <w:tcPr>
            <w:tcW w:w="1771" w:type="dxa"/>
            <w:tcBorders>
              <w:top w:val="nil"/>
              <w:left w:val="nil"/>
              <w:bottom w:val="nil"/>
              <w:right w:val="nil"/>
            </w:tcBorders>
            <w:shd w:val="clear" w:color="auto" w:fill="auto"/>
            <w:noWrap/>
            <w:vAlign w:val="bottom"/>
            <w:hideMark/>
          </w:tcPr>
          <w:p w14:paraId="3167978E"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235</w:t>
            </w:r>
          </w:p>
        </w:tc>
        <w:tc>
          <w:tcPr>
            <w:tcW w:w="1655" w:type="dxa"/>
            <w:tcBorders>
              <w:top w:val="nil"/>
              <w:left w:val="nil"/>
              <w:bottom w:val="nil"/>
              <w:right w:val="nil"/>
            </w:tcBorders>
            <w:shd w:val="clear" w:color="auto" w:fill="auto"/>
            <w:noWrap/>
            <w:vAlign w:val="bottom"/>
            <w:hideMark/>
          </w:tcPr>
          <w:p w14:paraId="6E2DF7ED"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117</w:t>
            </w:r>
          </w:p>
        </w:tc>
        <w:tc>
          <w:tcPr>
            <w:tcW w:w="1214" w:type="dxa"/>
            <w:tcBorders>
              <w:top w:val="nil"/>
              <w:left w:val="nil"/>
              <w:bottom w:val="nil"/>
              <w:right w:val="nil"/>
            </w:tcBorders>
            <w:shd w:val="clear" w:color="auto" w:fill="auto"/>
            <w:noWrap/>
            <w:vAlign w:val="bottom"/>
            <w:hideMark/>
          </w:tcPr>
          <w:p w14:paraId="748D3B07"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1193</w:t>
            </w:r>
          </w:p>
        </w:tc>
        <w:tc>
          <w:tcPr>
            <w:tcW w:w="1109" w:type="dxa"/>
            <w:tcBorders>
              <w:top w:val="nil"/>
              <w:left w:val="nil"/>
              <w:bottom w:val="nil"/>
              <w:right w:val="single" w:sz="8" w:space="0" w:color="auto"/>
            </w:tcBorders>
            <w:shd w:val="clear" w:color="auto" w:fill="auto"/>
            <w:noWrap/>
            <w:vAlign w:val="bottom"/>
            <w:hideMark/>
          </w:tcPr>
          <w:p w14:paraId="691E662A"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0,30</w:t>
            </w:r>
          </w:p>
        </w:tc>
      </w:tr>
      <w:tr w:rsidR="00426236" w:rsidRPr="00426236" w14:paraId="61927B5F"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5F6C7832"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Samisk</w:t>
            </w:r>
          </w:p>
        </w:tc>
        <w:tc>
          <w:tcPr>
            <w:tcW w:w="1771" w:type="dxa"/>
            <w:tcBorders>
              <w:top w:val="nil"/>
              <w:left w:val="nil"/>
              <w:bottom w:val="nil"/>
              <w:right w:val="nil"/>
            </w:tcBorders>
            <w:shd w:val="clear" w:color="auto" w:fill="auto"/>
            <w:noWrap/>
            <w:vAlign w:val="bottom"/>
            <w:hideMark/>
          </w:tcPr>
          <w:p w14:paraId="5F4C0DD3"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3</w:t>
            </w:r>
          </w:p>
        </w:tc>
        <w:tc>
          <w:tcPr>
            <w:tcW w:w="1655" w:type="dxa"/>
            <w:tcBorders>
              <w:top w:val="nil"/>
              <w:left w:val="nil"/>
              <w:bottom w:val="nil"/>
              <w:right w:val="nil"/>
            </w:tcBorders>
            <w:shd w:val="clear" w:color="auto" w:fill="auto"/>
            <w:noWrap/>
            <w:vAlign w:val="bottom"/>
            <w:hideMark/>
          </w:tcPr>
          <w:p w14:paraId="03BB3491"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7</w:t>
            </w:r>
          </w:p>
        </w:tc>
        <w:tc>
          <w:tcPr>
            <w:tcW w:w="1214" w:type="dxa"/>
            <w:tcBorders>
              <w:top w:val="nil"/>
              <w:left w:val="nil"/>
              <w:bottom w:val="nil"/>
              <w:right w:val="nil"/>
            </w:tcBorders>
            <w:shd w:val="clear" w:color="auto" w:fill="auto"/>
            <w:noWrap/>
            <w:vAlign w:val="bottom"/>
            <w:hideMark/>
          </w:tcPr>
          <w:p w14:paraId="3FDC5B25"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50</w:t>
            </w:r>
          </w:p>
        </w:tc>
        <w:tc>
          <w:tcPr>
            <w:tcW w:w="1109" w:type="dxa"/>
            <w:tcBorders>
              <w:top w:val="nil"/>
              <w:left w:val="nil"/>
              <w:bottom w:val="nil"/>
              <w:right w:val="single" w:sz="8" w:space="0" w:color="auto"/>
            </w:tcBorders>
            <w:shd w:val="clear" w:color="auto" w:fill="auto"/>
            <w:noWrap/>
            <w:vAlign w:val="bottom"/>
            <w:hideMark/>
          </w:tcPr>
          <w:p w14:paraId="03A16453"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0,20</w:t>
            </w:r>
          </w:p>
        </w:tc>
      </w:tr>
      <w:tr w:rsidR="00426236" w:rsidRPr="00426236" w14:paraId="3108EE90"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4B93E6B2"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Utdanning og kompetanse</w:t>
            </w:r>
          </w:p>
        </w:tc>
        <w:tc>
          <w:tcPr>
            <w:tcW w:w="1771" w:type="dxa"/>
            <w:tcBorders>
              <w:top w:val="nil"/>
              <w:left w:val="nil"/>
              <w:bottom w:val="nil"/>
              <w:right w:val="nil"/>
            </w:tcBorders>
            <w:shd w:val="clear" w:color="auto" w:fill="auto"/>
            <w:noWrap/>
            <w:vAlign w:val="bottom"/>
            <w:hideMark/>
          </w:tcPr>
          <w:p w14:paraId="040605D2"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180</w:t>
            </w:r>
          </w:p>
        </w:tc>
        <w:tc>
          <w:tcPr>
            <w:tcW w:w="1655" w:type="dxa"/>
            <w:tcBorders>
              <w:top w:val="nil"/>
              <w:left w:val="nil"/>
              <w:bottom w:val="nil"/>
              <w:right w:val="nil"/>
            </w:tcBorders>
            <w:shd w:val="clear" w:color="auto" w:fill="auto"/>
            <w:noWrap/>
            <w:vAlign w:val="bottom"/>
            <w:hideMark/>
          </w:tcPr>
          <w:p w14:paraId="761A03E1"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54</w:t>
            </w:r>
          </w:p>
        </w:tc>
        <w:tc>
          <w:tcPr>
            <w:tcW w:w="1214" w:type="dxa"/>
            <w:tcBorders>
              <w:top w:val="nil"/>
              <w:left w:val="nil"/>
              <w:bottom w:val="nil"/>
              <w:right w:val="nil"/>
            </w:tcBorders>
            <w:shd w:val="clear" w:color="auto" w:fill="auto"/>
            <w:noWrap/>
            <w:vAlign w:val="bottom"/>
            <w:hideMark/>
          </w:tcPr>
          <w:p w14:paraId="5F13D096"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635</w:t>
            </w:r>
          </w:p>
        </w:tc>
        <w:tc>
          <w:tcPr>
            <w:tcW w:w="1109" w:type="dxa"/>
            <w:tcBorders>
              <w:top w:val="nil"/>
              <w:left w:val="nil"/>
              <w:bottom w:val="nil"/>
              <w:right w:val="single" w:sz="8" w:space="0" w:color="auto"/>
            </w:tcBorders>
            <w:shd w:val="clear" w:color="auto" w:fill="auto"/>
            <w:noWrap/>
            <w:vAlign w:val="bottom"/>
            <w:hideMark/>
          </w:tcPr>
          <w:p w14:paraId="16360275"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0,37</w:t>
            </w:r>
          </w:p>
        </w:tc>
      </w:tr>
      <w:tr w:rsidR="00426236" w:rsidRPr="00426236" w14:paraId="73EFAE8A"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3EB4DCA9"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Velferd, kultur og samfunn</w:t>
            </w:r>
          </w:p>
        </w:tc>
        <w:tc>
          <w:tcPr>
            <w:tcW w:w="1771" w:type="dxa"/>
            <w:tcBorders>
              <w:top w:val="nil"/>
              <w:left w:val="nil"/>
              <w:bottom w:val="nil"/>
              <w:right w:val="nil"/>
            </w:tcBorders>
            <w:shd w:val="clear" w:color="auto" w:fill="auto"/>
            <w:noWrap/>
            <w:vAlign w:val="bottom"/>
            <w:hideMark/>
          </w:tcPr>
          <w:p w14:paraId="3B820AC6"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113</w:t>
            </w:r>
          </w:p>
        </w:tc>
        <w:tc>
          <w:tcPr>
            <w:tcW w:w="1655" w:type="dxa"/>
            <w:tcBorders>
              <w:top w:val="nil"/>
              <w:left w:val="nil"/>
              <w:bottom w:val="nil"/>
              <w:right w:val="nil"/>
            </w:tcBorders>
            <w:shd w:val="clear" w:color="auto" w:fill="auto"/>
            <w:noWrap/>
            <w:vAlign w:val="bottom"/>
            <w:hideMark/>
          </w:tcPr>
          <w:p w14:paraId="06E41D6F"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59</w:t>
            </w:r>
          </w:p>
        </w:tc>
        <w:tc>
          <w:tcPr>
            <w:tcW w:w="1214" w:type="dxa"/>
            <w:tcBorders>
              <w:top w:val="nil"/>
              <w:left w:val="nil"/>
              <w:bottom w:val="nil"/>
              <w:right w:val="nil"/>
            </w:tcBorders>
            <w:shd w:val="clear" w:color="auto" w:fill="auto"/>
            <w:noWrap/>
            <w:vAlign w:val="bottom"/>
            <w:hideMark/>
          </w:tcPr>
          <w:p w14:paraId="7849D415"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501</w:t>
            </w:r>
          </w:p>
        </w:tc>
        <w:tc>
          <w:tcPr>
            <w:tcW w:w="1109" w:type="dxa"/>
            <w:tcBorders>
              <w:top w:val="nil"/>
              <w:left w:val="nil"/>
              <w:bottom w:val="nil"/>
              <w:right w:val="single" w:sz="8" w:space="0" w:color="auto"/>
            </w:tcBorders>
            <w:shd w:val="clear" w:color="auto" w:fill="auto"/>
            <w:noWrap/>
            <w:vAlign w:val="bottom"/>
            <w:hideMark/>
          </w:tcPr>
          <w:p w14:paraId="435A22A3"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0,34</w:t>
            </w:r>
          </w:p>
        </w:tc>
      </w:tr>
      <w:tr w:rsidR="00426236" w:rsidRPr="00426236" w14:paraId="1D33ED28" w14:textId="77777777" w:rsidTr="00426236">
        <w:trPr>
          <w:trHeight w:val="300"/>
        </w:trPr>
        <w:tc>
          <w:tcPr>
            <w:tcW w:w="3601" w:type="dxa"/>
            <w:tcBorders>
              <w:top w:val="nil"/>
              <w:left w:val="single" w:sz="8" w:space="0" w:color="auto"/>
              <w:bottom w:val="nil"/>
              <w:right w:val="nil"/>
            </w:tcBorders>
            <w:shd w:val="clear" w:color="auto" w:fill="auto"/>
            <w:noWrap/>
            <w:vAlign w:val="center"/>
            <w:hideMark/>
          </w:tcPr>
          <w:p w14:paraId="4D07D07B"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SFF</w:t>
            </w:r>
          </w:p>
        </w:tc>
        <w:tc>
          <w:tcPr>
            <w:tcW w:w="1771" w:type="dxa"/>
            <w:tcBorders>
              <w:top w:val="nil"/>
              <w:left w:val="nil"/>
              <w:bottom w:val="nil"/>
              <w:right w:val="nil"/>
            </w:tcBorders>
            <w:shd w:val="clear" w:color="auto" w:fill="auto"/>
            <w:noWrap/>
            <w:vAlign w:val="bottom"/>
            <w:hideMark/>
          </w:tcPr>
          <w:p w14:paraId="3FD5CB56"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423</w:t>
            </w:r>
          </w:p>
        </w:tc>
        <w:tc>
          <w:tcPr>
            <w:tcW w:w="1655" w:type="dxa"/>
            <w:tcBorders>
              <w:top w:val="nil"/>
              <w:left w:val="nil"/>
              <w:bottom w:val="nil"/>
              <w:right w:val="nil"/>
            </w:tcBorders>
            <w:shd w:val="clear" w:color="auto" w:fill="auto"/>
            <w:noWrap/>
            <w:vAlign w:val="bottom"/>
            <w:hideMark/>
          </w:tcPr>
          <w:p w14:paraId="07E6751E"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256</w:t>
            </w:r>
          </w:p>
        </w:tc>
        <w:tc>
          <w:tcPr>
            <w:tcW w:w="1214" w:type="dxa"/>
            <w:tcBorders>
              <w:top w:val="nil"/>
              <w:left w:val="nil"/>
              <w:bottom w:val="nil"/>
              <w:right w:val="nil"/>
            </w:tcBorders>
            <w:shd w:val="clear" w:color="auto" w:fill="auto"/>
            <w:noWrap/>
            <w:vAlign w:val="bottom"/>
            <w:hideMark/>
          </w:tcPr>
          <w:p w14:paraId="2F27AF54"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1001</w:t>
            </w:r>
          </w:p>
        </w:tc>
        <w:tc>
          <w:tcPr>
            <w:tcW w:w="1109" w:type="dxa"/>
            <w:tcBorders>
              <w:top w:val="nil"/>
              <w:left w:val="nil"/>
              <w:bottom w:val="nil"/>
              <w:right w:val="single" w:sz="8" w:space="0" w:color="auto"/>
            </w:tcBorders>
            <w:shd w:val="clear" w:color="auto" w:fill="auto"/>
            <w:noWrap/>
            <w:vAlign w:val="bottom"/>
            <w:hideMark/>
          </w:tcPr>
          <w:p w14:paraId="207E0288"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0,68</w:t>
            </w:r>
          </w:p>
        </w:tc>
      </w:tr>
      <w:tr w:rsidR="00426236" w:rsidRPr="00426236" w14:paraId="716F6AEB" w14:textId="77777777" w:rsidTr="00426236">
        <w:trPr>
          <w:trHeight w:val="315"/>
        </w:trPr>
        <w:tc>
          <w:tcPr>
            <w:tcW w:w="3601" w:type="dxa"/>
            <w:tcBorders>
              <w:top w:val="nil"/>
              <w:left w:val="single" w:sz="8" w:space="0" w:color="auto"/>
              <w:bottom w:val="single" w:sz="8" w:space="0" w:color="auto"/>
              <w:right w:val="nil"/>
            </w:tcBorders>
            <w:shd w:val="clear" w:color="auto" w:fill="auto"/>
            <w:noWrap/>
            <w:vAlign w:val="center"/>
            <w:hideMark/>
          </w:tcPr>
          <w:p w14:paraId="6C1DD186" w14:textId="77777777" w:rsidR="00426236" w:rsidRPr="00426236" w:rsidRDefault="00426236" w:rsidP="00426236">
            <w:pPr>
              <w:spacing w:after="0" w:line="240" w:lineRule="auto"/>
              <w:rPr>
                <w:rFonts w:ascii="Calibri" w:eastAsia="Times New Roman" w:hAnsi="Calibri" w:cs="Calibri"/>
                <w:color w:val="000000"/>
                <w:lang w:val="en-US"/>
              </w:rPr>
            </w:pPr>
            <w:r w:rsidRPr="00426236">
              <w:rPr>
                <w:rFonts w:ascii="Calibri" w:eastAsia="Times New Roman" w:hAnsi="Calibri" w:cs="Calibri"/>
                <w:color w:val="000000"/>
                <w:lang w:val="en-US"/>
              </w:rPr>
              <w:t>SFI</w:t>
            </w:r>
          </w:p>
        </w:tc>
        <w:tc>
          <w:tcPr>
            <w:tcW w:w="1771" w:type="dxa"/>
            <w:tcBorders>
              <w:top w:val="nil"/>
              <w:left w:val="nil"/>
              <w:bottom w:val="single" w:sz="8" w:space="0" w:color="auto"/>
              <w:right w:val="nil"/>
            </w:tcBorders>
            <w:shd w:val="clear" w:color="auto" w:fill="auto"/>
            <w:noWrap/>
            <w:vAlign w:val="bottom"/>
            <w:hideMark/>
          </w:tcPr>
          <w:p w14:paraId="4EFBF225"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410</w:t>
            </w:r>
          </w:p>
        </w:tc>
        <w:tc>
          <w:tcPr>
            <w:tcW w:w="1655" w:type="dxa"/>
            <w:tcBorders>
              <w:top w:val="nil"/>
              <w:left w:val="nil"/>
              <w:bottom w:val="single" w:sz="8" w:space="0" w:color="auto"/>
              <w:right w:val="nil"/>
            </w:tcBorders>
            <w:shd w:val="clear" w:color="auto" w:fill="auto"/>
            <w:noWrap/>
            <w:vAlign w:val="bottom"/>
            <w:hideMark/>
          </w:tcPr>
          <w:p w14:paraId="32856802" w14:textId="77777777" w:rsidR="00426236" w:rsidRPr="00426236" w:rsidRDefault="00426236" w:rsidP="00426236">
            <w:pPr>
              <w:spacing w:after="0" w:line="240" w:lineRule="auto"/>
              <w:jc w:val="right"/>
              <w:rPr>
                <w:rFonts w:ascii="Calibri" w:eastAsia="Times New Roman" w:hAnsi="Calibri" w:cs="Calibri"/>
                <w:b/>
                <w:bCs/>
                <w:color w:val="000000"/>
                <w:lang w:val="en-US"/>
              </w:rPr>
            </w:pPr>
            <w:r w:rsidRPr="00426236">
              <w:rPr>
                <w:rFonts w:ascii="Calibri" w:eastAsia="Times New Roman" w:hAnsi="Calibri" w:cs="Calibri"/>
                <w:b/>
                <w:bCs/>
                <w:color w:val="000000"/>
                <w:lang w:val="en-US"/>
              </w:rPr>
              <w:t>127</w:t>
            </w:r>
          </w:p>
        </w:tc>
        <w:tc>
          <w:tcPr>
            <w:tcW w:w="1214" w:type="dxa"/>
            <w:tcBorders>
              <w:top w:val="nil"/>
              <w:left w:val="nil"/>
              <w:bottom w:val="single" w:sz="8" w:space="0" w:color="auto"/>
              <w:right w:val="nil"/>
            </w:tcBorders>
            <w:shd w:val="clear" w:color="auto" w:fill="auto"/>
            <w:noWrap/>
            <w:vAlign w:val="bottom"/>
            <w:hideMark/>
          </w:tcPr>
          <w:p w14:paraId="42F3E427"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803</w:t>
            </w:r>
          </w:p>
        </w:tc>
        <w:tc>
          <w:tcPr>
            <w:tcW w:w="1109" w:type="dxa"/>
            <w:tcBorders>
              <w:top w:val="nil"/>
              <w:left w:val="nil"/>
              <w:bottom w:val="single" w:sz="8" w:space="0" w:color="auto"/>
              <w:right w:val="single" w:sz="8" w:space="0" w:color="auto"/>
            </w:tcBorders>
            <w:shd w:val="clear" w:color="auto" w:fill="auto"/>
            <w:noWrap/>
            <w:vAlign w:val="bottom"/>
            <w:hideMark/>
          </w:tcPr>
          <w:p w14:paraId="21847453" w14:textId="77777777" w:rsidR="00426236" w:rsidRPr="00426236" w:rsidRDefault="00426236" w:rsidP="00426236">
            <w:pPr>
              <w:spacing w:after="0" w:line="240" w:lineRule="auto"/>
              <w:jc w:val="right"/>
              <w:rPr>
                <w:rFonts w:ascii="Calibri" w:eastAsia="Times New Roman" w:hAnsi="Calibri" w:cs="Calibri"/>
                <w:color w:val="000000"/>
                <w:lang w:val="en-US"/>
              </w:rPr>
            </w:pPr>
            <w:r w:rsidRPr="00426236">
              <w:rPr>
                <w:rFonts w:ascii="Calibri" w:eastAsia="Times New Roman" w:hAnsi="Calibri" w:cs="Calibri"/>
                <w:color w:val="000000"/>
                <w:lang w:val="en-US"/>
              </w:rPr>
              <w:t>0,67</w:t>
            </w:r>
          </w:p>
        </w:tc>
      </w:tr>
    </w:tbl>
    <w:p w14:paraId="7DF46C3C" w14:textId="1DB412D1" w:rsidR="00013888" w:rsidRDefault="007B4FEA" w:rsidP="004F0F25">
      <w:pPr>
        <w:spacing w:after="0" w:line="240" w:lineRule="auto"/>
        <w:textAlignment w:val="baseline"/>
        <w:rPr>
          <w:rFonts w:ascii="Calibri" w:eastAsia="Times New Roman" w:hAnsi="Calibri" w:cs="Calibri"/>
          <w:color w:val="000000" w:themeColor="accent6"/>
          <w:sz w:val="18"/>
          <w:szCs w:val="18"/>
        </w:rPr>
      </w:pPr>
      <w:r w:rsidRPr="007B4FEA">
        <w:rPr>
          <w:rFonts w:ascii="Calibri" w:eastAsia="Times New Roman" w:hAnsi="Calibri" w:cs="Calibri"/>
          <w:color w:val="000000" w:themeColor="accent6"/>
          <w:sz w:val="18"/>
          <w:szCs w:val="18"/>
        </w:rPr>
        <w:t>Kilde: Forskningsrådet (Offentlig sektor</w:t>
      </w:r>
      <w:r w:rsidR="00640269">
        <w:rPr>
          <w:rFonts w:ascii="Calibri" w:eastAsia="Times New Roman" w:hAnsi="Calibri" w:cs="Calibri"/>
          <w:color w:val="000000" w:themeColor="accent6"/>
          <w:sz w:val="18"/>
          <w:szCs w:val="18"/>
        </w:rPr>
        <w:t xml:space="preserve">- </w:t>
      </w:r>
      <w:r w:rsidRPr="007B4FEA">
        <w:rPr>
          <w:rFonts w:ascii="Calibri" w:eastAsia="Times New Roman" w:hAnsi="Calibri" w:cs="Calibri"/>
          <w:color w:val="000000" w:themeColor="accent6"/>
          <w:sz w:val="18"/>
          <w:szCs w:val="18"/>
        </w:rPr>
        <w:t xml:space="preserve">ph.d. inngår i </w:t>
      </w:r>
      <w:r w:rsidR="004926C3">
        <w:rPr>
          <w:rFonts w:ascii="Calibri" w:eastAsia="Times New Roman" w:hAnsi="Calibri" w:cs="Calibri"/>
          <w:color w:val="000000" w:themeColor="accent6"/>
          <w:sz w:val="18"/>
          <w:szCs w:val="18"/>
        </w:rPr>
        <w:t xml:space="preserve">porteføljen </w:t>
      </w:r>
      <w:r w:rsidRPr="007B4FEA">
        <w:rPr>
          <w:rFonts w:ascii="Calibri" w:eastAsia="Times New Roman" w:hAnsi="Calibri" w:cs="Calibri"/>
          <w:color w:val="000000" w:themeColor="accent6"/>
          <w:sz w:val="18"/>
          <w:szCs w:val="18"/>
        </w:rPr>
        <w:t>Demokrati, styring og fornyelse</w:t>
      </w:r>
      <w:r w:rsidR="00E76771">
        <w:rPr>
          <w:rFonts w:ascii="Calibri" w:eastAsia="Times New Roman" w:hAnsi="Calibri" w:cs="Calibri"/>
          <w:color w:val="000000" w:themeColor="accent6"/>
          <w:sz w:val="18"/>
          <w:szCs w:val="18"/>
        </w:rPr>
        <w:t>.</w:t>
      </w:r>
      <w:r w:rsidR="00E76771" w:rsidRPr="00586DAE">
        <w:rPr>
          <w:rFonts w:ascii="Calibri" w:eastAsia="Times New Roman" w:hAnsi="Calibri" w:cs="Calibri"/>
          <w:color w:val="000000" w:themeColor="accent6"/>
          <w:sz w:val="18"/>
          <w:szCs w:val="18"/>
        </w:rPr>
        <w:t xml:space="preserve"> </w:t>
      </w:r>
      <w:r w:rsidR="00E76771" w:rsidRPr="00806568">
        <w:rPr>
          <w:rFonts w:ascii="Calibri" w:eastAsia="Times New Roman" w:hAnsi="Calibri" w:cs="Calibri"/>
          <w:color w:val="000000" w:themeColor="accent6"/>
          <w:sz w:val="18"/>
          <w:szCs w:val="18"/>
        </w:rPr>
        <w:t xml:space="preserve">Budsjettet for Nærings-ph.d.- </w:t>
      </w:r>
      <w:r w:rsidR="003D2B0C" w:rsidRPr="00806568">
        <w:rPr>
          <w:rFonts w:ascii="Calibri" w:eastAsia="Times New Roman" w:hAnsi="Calibri" w:cs="Calibri"/>
          <w:color w:val="000000" w:themeColor="accent6"/>
          <w:sz w:val="18"/>
          <w:szCs w:val="18"/>
        </w:rPr>
        <w:t>er ikke inkludert i tabell 3</w:t>
      </w:r>
      <w:r w:rsidR="00043C8F">
        <w:rPr>
          <w:rFonts w:ascii="Calibri" w:eastAsia="Times New Roman" w:hAnsi="Calibri" w:cs="Calibri"/>
          <w:color w:val="000000" w:themeColor="accent6"/>
          <w:sz w:val="18"/>
          <w:szCs w:val="18"/>
        </w:rPr>
        <w:t>.)</w:t>
      </w:r>
      <w:r w:rsidR="00E76771" w:rsidRPr="00806568">
        <w:rPr>
          <w:rFonts w:ascii="Calibri" w:eastAsia="Times New Roman" w:hAnsi="Calibri" w:cs="Calibri"/>
          <w:color w:val="000000" w:themeColor="accent6"/>
          <w:sz w:val="18"/>
          <w:szCs w:val="18"/>
        </w:rPr>
        <w:t xml:space="preserve"> </w:t>
      </w:r>
    </w:p>
    <w:p w14:paraId="70959B59" w14:textId="77777777" w:rsidR="00C20476" w:rsidRDefault="00C20476" w:rsidP="004F0F25">
      <w:pPr>
        <w:spacing w:after="0" w:line="240" w:lineRule="auto"/>
        <w:textAlignment w:val="baseline"/>
        <w:rPr>
          <w:rFonts w:ascii="Calibri" w:eastAsia="Times New Roman" w:hAnsi="Calibri" w:cs="Calibri"/>
          <w:color w:val="000000"/>
        </w:rPr>
      </w:pPr>
    </w:p>
    <w:p w14:paraId="0536478E" w14:textId="6B4CD6E0" w:rsidR="00186CD5" w:rsidRDefault="005971C9"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Vi har tidligere sett at sentrene var </w:t>
      </w:r>
      <w:r w:rsidR="003F1846">
        <w:rPr>
          <w:rFonts w:ascii="Calibri" w:eastAsia="Times New Roman" w:hAnsi="Calibri" w:cs="Calibri"/>
          <w:color w:val="000000"/>
        </w:rPr>
        <w:t xml:space="preserve">blant </w:t>
      </w:r>
      <w:r>
        <w:rPr>
          <w:rFonts w:ascii="Calibri" w:eastAsia="Times New Roman" w:hAnsi="Calibri" w:cs="Calibri"/>
          <w:color w:val="000000"/>
        </w:rPr>
        <w:t>satsingene som finansierte flest r</w:t>
      </w:r>
      <w:r w:rsidR="003F1846">
        <w:rPr>
          <w:rFonts w:ascii="Calibri" w:eastAsia="Times New Roman" w:hAnsi="Calibri" w:cs="Calibri"/>
          <w:color w:val="000000"/>
        </w:rPr>
        <w:t xml:space="preserve">ekrutteringsårsverk i perioden 2019-2021. </w:t>
      </w:r>
      <w:r w:rsidR="009320F3">
        <w:rPr>
          <w:rFonts w:ascii="Calibri" w:eastAsia="Times New Roman" w:hAnsi="Calibri" w:cs="Calibri"/>
          <w:color w:val="000000"/>
        </w:rPr>
        <w:t>Sammenliknet</w:t>
      </w:r>
      <w:r w:rsidR="003040A8">
        <w:rPr>
          <w:rFonts w:ascii="Calibri" w:eastAsia="Times New Roman" w:hAnsi="Calibri" w:cs="Calibri"/>
          <w:color w:val="000000"/>
        </w:rPr>
        <w:t xml:space="preserve"> med </w:t>
      </w:r>
      <w:r w:rsidR="00186CD5">
        <w:rPr>
          <w:rFonts w:ascii="Calibri" w:eastAsia="Times New Roman" w:hAnsi="Calibri" w:cs="Calibri"/>
          <w:color w:val="000000"/>
        </w:rPr>
        <w:t>de</w:t>
      </w:r>
      <w:r w:rsidR="003040A8">
        <w:rPr>
          <w:rFonts w:ascii="Calibri" w:eastAsia="Times New Roman" w:hAnsi="Calibri" w:cs="Calibri"/>
          <w:color w:val="000000"/>
        </w:rPr>
        <w:t xml:space="preserve"> andre</w:t>
      </w:r>
      <w:r w:rsidR="00FD5716">
        <w:rPr>
          <w:rFonts w:ascii="Calibri" w:eastAsia="Times New Roman" w:hAnsi="Calibri" w:cs="Calibri"/>
          <w:color w:val="000000"/>
        </w:rPr>
        <w:t xml:space="preserve"> </w:t>
      </w:r>
      <w:r w:rsidR="00DA7234">
        <w:rPr>
          <w:rFonts w:ascii="Calibri" w:eastAsia="Times New Roman" w:hAnsi="Calibri" w:cs="Calibri"/>
          <w:color w:val="000000"/>
        </w:rPr>
        <w:t xml:space="preserve">satsingsområdene </w:t>
      </w:r>
      <w:r w:rsidR="00FB00ED">
        <w:rPr>
          <w:rFonts w:ascii="Calibri" w:eastAsia="Times New Roman" w:hAnsi="Calibri" w:cs="Calibri"/>
          <w:color w:val="000000"/>
        </w:rPr>
        <w:t xml:space="preserve">var det </w:t>
      </w:r>
      <w:r w:rsidR="003040A8">
        <w:rPr>
          <w:rFonts w:ascii="Calibri" w:eastAsia="Times New Roman" w:hAnsi="Calibri" w:cs="Calibri"/>
          <w:color w:val="000000"/>
        </w:rPr>
        <w:t>SFF og SFI som b</w:t>
      </w:r>
      <w:r w:rsidR="00FB00ED">
        <w:rPr>
          <w:rFonts w:ascii="Calibri" w:eastAsia="Times New Roman" w:hAnsi="Calibri" w:cs="Calibri"/>
          <w:color w:val="000000"/>
        </w:rPr>
        <w:t xml:space="preserve">rukte </w:t>
      </w:r>
      <w:r w:rsidR="00186CD5">
        <w:rPr>
          <w:rFonts w:ascii="Calibri" w:eastAsia="Times New Roman" w:hAnsi="Calibri" w:cs="Calibri"/>
          <w:color w:val="000000"/>
        </w:rPr>
        <w:t>høy</w:t>
      </w:r>
      <w:r w:rsidR="00FB00ED">
        <w:rPr>
          <w:rFonts w:ascii="Calibri" w:eastAsia="Times New Roman" w:hAnsi="Calibri" w:cs="Calibri"/>
          <w:color w:val="000000"/>
        </w:rPr>
        <w:t>est</w:t>
      </w:r>
      <w:r w:rsidR="00186CD5">
        <w:rPr>
          <w:rFonts w:ascii="Calibri" w:eastAsia="Times New Roman" w:hAnsi="Calibri" w:cs="Calibri"/>
          <w:color w:val="000000"/>
        </w:rPr>
        <w:t xml:space="preserve"> andel av sine </w:t>
      </w:r>
      <w:r w:rsidR="003F1846">
        <w:rPr>
          <w:rFonts w:ascii="Calibri" w:eastAsia="Times New Roman" w:hAnsi="Calibri" w:cs="Calibri"/>
          <w:color w:val="000000"/>
        </w:rPr>
        <w:t>budsjette</w:t>
      </w:r>
      <w:r w:rsidR="00186CD5">
        <w:rPr>
          <w:rFonts w:ascii="Calibri" w:eastAsia="Times New Roman" w:hAnsi="Calibri" w:cs="Calibri"/>
          <w:color w:val="000000"/>
        </w:rPr>
        <w:t>r</w:t>
      </w:r>
      <w:r w:rsidR="003F1846">
        <w:rPr>
          <w:rFonts w:ascii="Calibri" w:eastAsia="Times New Roman" w:hAnsi="Calibri" w:cs="Calibri"/>
          <w:color w:val="000000"/>
        </w:rPr>
        <w:t xml:space="preserve"> til å finansiere </w:t>
      </w:r>
      <w:r w:rsidR="00DA7234">
        <w:rPr>
          <w:rFonts w:ascii="Calibri" w:eastAsia="Times New Roman" w:hAnsi="Calibri" w:cs="Calibri"/>
          <w:color w:val="000000"/>
        </w:rPr>
        <w:t>rekrutteringsstillinger</w:t>
      </w:r>
      <w:r w:rsidR="002D1C0F">
        <w:rPr>
          <w:rFonts w:ascii="Calibri" w:eastAsia="Times New Roman" w:hAnsi="Calibri" w:cs="Calibri"/>
          <w:color w:val="000000"/>
        </w:rPr>
        <w:t xml:space="preserve"> i perioden</w:t>
      </w:r>
      <w:r w:rsidR="00DA7234">
        <w:rPr>
          <w:rFonts w:ascii="Calibri" w:eastAsia="Times New Roman" w:hAnsi="Calibri" w:cs="Calibri"/>
          <w:color w:val="000000"/>
        </w:rPr>
        <w:t>.</w:t>
      </w:r>
      <w:r w:rsidR="003040A8">
        <w:rPr>
          <w:rFonts w:ascii="Calibri" w:eastAsia="Times New Roman" w:hAnsi="Calibri" w:cs="Calibri"/>
          <w:color w:val="000000"/>
        </w:rPr>
        <w:t xml:space="preserve"> Forholdstallet er </w:t>
      </w:r>
      <w:r w:rsidR="009320F3">
        <w:rPr>
          <w:rFonts w:ascii="Calibri" w:eastAsia="Times New Roman" w:hAnsi="Calibri" w:cs="Calibri"/>
          <w:color w:val="000000"/>
        </w:rPr>
        <w:t>henholdsvis</w:t>
      </w:r>
      <w:r w:rsidR="003040A8">
        <w:rPr>
          <w:rFonts w:ascii="Calibri" w:eastAsia="Times New Roman" w:hAnsi="Calibri" w:cs="Calibri"/>
          <w:color w:val="000000"/>
        </w:rPr>
        <w:t xml:space="preserve"> 0,68 og 0,67</w:t>
      </w:r>
      <w:r w:rsidR="002D1C0F">
        <w:rPr>
          <w:rFonts w:ascii="Calibri" w:eastAsia="Times New Roman" w:hAnsi="Calibri" w:cs="Calibri"/>
          <w:color w:val="000000"/>
        </w:rPr>
        <w:t xml:space="preserve"> (se </w:t>
      </w:r>
      <w:r w:rsidR="003040A8">
        <w:rPr>
          <w:rFonts w:ascii="Calibri" w:eastAsia="Times New Roman" w:hAnsi="Calibri" w:cs="Calibri"/>
          <w:color w:val="000000"/>
        </w:rPr>
        <w:t>tabell 3</w:t>
      </w:r>
      <w:r w:rsidR="002D1C0F">
        <w:rPr>
          <w:rFonts w:ascii="Calibri" w:eastAsia="Times New Roman" w:hAnsi="Calibri" w:cs="Calibri"/>
          <w:color w:val="000000"/>
        </w:rPr>
        <w:t>)</w:t>
      </w:r>
      <w:r w:rsidR="003040A8">
        <w:rPr>
          <w:rFonts w:ascii="Calibri" w:eastAsia="Times New Roman" w:hAnsi="Calibri" w:cs="Calibri"/>
          <w:color w:val="000000"/>
        </w:rPr>
        <w:t xml:space="preserve">. </w:t>
      </w:r>
      <w:r w:rsidR="002D1C0F">
        <w:rPr>
          <w:rFonts w:ascii="Calibri" w:eastAsia="Times New Roman" w:hAnsi="Calibri" w:cs="Calibri"/>
          <w:color w:val="000000"/>
        </w:rPr>
        <w:t xml:space="preserve">Porteføljen energi, transport, og lavutslipp, hvor </w:t>
      </w:r>
      <w:r w:rsidR="009320F3">
        <w:rPr>
          <w:rFonts w:ascii="Calibri" w:eastAsia="Times New Roman" w:hAnsi="Calibri" w:cs="Calibri"/>
          <w:color w:val="000000"/>
        </w:rPr>
        <w:t>forskningssentrene</w:t>
      </w:r>
      <w:r w:rsidR="003040A8">
        <w:rPr>
          <w:rFonts w:ascii="Calibri" w:eastAsia="Times New Roman" w:hAnsi="Calibri" w:cs="Calibri"/>
          <w:color w:val="000000"/>
        </w:rPr>
        <w:t xml:space="preserve"> for miljøvennlig energi inngår</w:t>
      </w:r>
      <w:r w:rsidR="002D1C0F">
        <w:rPr>
          <w:rFonts w:ascii="Calibri" w:eastAsia="Times New Roman" w:hAnsi="Calibri" w:cs="Calibri"/>
          <w:color w:val="000000"/>
        </w:rPr>
        <w:t xml:space="preserve">, </w:t>
      </w:r>
      <w:r w:rsidR="009C5B06">
        <w:rPr>
          <w:rFonts w:ascii="Calibri" w:eastAsia="Times New Roman" w:hAnsi="Calibri" w:cs="Calibri"/>
          <w:color w:val="000000"/>
        </w:rPr>
        <w:t>var den porteføljen som finansierte desidert flest doktorgradsårsverk</w:t>
      </w:r>
      <w:r w:rsidR="002D1C0F">
        <w:rPr>
          <w:rFonts w:ascii="Calibri" w:eastAsia="Times New Roman" w:hAnsi="Calibri" w:cs="Calibri"/>
          <w:color w:val="000000"/>
        </w:rPr>
        <w:t xml:space="preserve">. </w:t>
      </w:r>
      <w:r w:rsidR="00FD5716">
        <w:rPr>
          <w:rFonts w:ascii="Calibri" w:eastAsia="Times New Roman" w:hAnsi="Calibri" w:cs="Calibri"/>
          <w:color w:val="000000"/>
        </w:rPr>
        <w:t xml:space="preserve">Relativt sett </w:t>
      </w:r>
      <w:r w:rsidR="002D1C0F">
        <w:rPr>
          <w:rFonts w:ascii="Calibri" w:eastAsia="Times New Roman" w:hAnsi="Calibri" w:cs="Calibri"/>
          <w:color w:val="000000"/>
        </w:rPr>
        <w:t xml:space="preserve">ligger de imidlertid i det nedre sjiktet når det gjelder andel av budsjettet som brukes til rekrutteringsstillinger. En forklaring </w:t>
      </w:r>
      <w:r w:rsidR="008B29EF">
        <w:rPr>
          <w:rFonts w:ascii="Calibri" w:eastAsia="Times New Roman" w:hAnsi="Calibri" w:cs="Calibri"/>
          <w:color w:val="000000"/>
        </w:rPr>
        <w:t xml:space="preserve">er at de brukte en </w:t>
      </w:r>
      <w:r w:rsidR="00FD5716">
        <w:rPr>
          <w:rFonts w:ascii="Calibri" w:eastAsia="Times New Roman" w:hAnsi="Calibri" w:cs="Calibri"/>
          <w:color w:val="000000"/>
        </w:rPr>
        <w:t xml:space="preserve">liten </w:t>
      </w:r>
      <w:r w:rsidR="008B29EF">
        <w:rPr>
          <w:rFonts w:ascii="Calibri" w:eastAsia="Times New Roman" w:hAnsi="Calibri" w:cs="Calibri"/>
          <w:color w:val="000000"/>
        </w:rPr>
        <w:t xml:space="preserve">andel av budsjettet til </w:t>
      </w:r>
      <w:r w:rsidR="002D1C0F">
        <w:rPr>
          <w:rFonts w:ascii="Calibri" w:eastAsia="Times New Roman" w:hAnsi="Calibri" w:cs="Calibri"/>
          <w:color w:val="000000"/>
        </w:rPr>
        <w:t>postdok</w:t>
      </w:r>
      <w:r w:rsidR="00542438">
        <w:rPr>
          <w:rFonts w:ascii="Calibri" w:eastAsia="Times New Roman" w:hAnsi="Calibri" w:cs="Calibri"/>
          <w:color w:val="000000"/>
        </w:rPr>
        <w:t>t</w:t>
      </w:r>
      <w:r w:rsidR="002D1C0F">
        <w:rPr>
          <w:rFonts w:ascii="Calibri" w:eastAsia="Times New Roman" w:hAnsi="Calibri" w:cs="Calibri"/>
          <w:color w:val="000000"/>
        </w:rPr>
        <w:t>orårsverk</w:t>
      </w:r>
      <w:r w:rsidR="008B29EF">
        <w:rPr>
          <w:rFonts w:ascii="Calibri" w:eastAsia="Times New Roman" w:hAnsi="Calibri" w:cs="Calibri"/>
          <w:color w:val="000000"/>
        </w:rPr>
        <w:t xml:space="preserve"> (</w:t>
      </w:r>
      <w:r w:rsidR="00FD5716">
        <w:rPr>
          <w:rFonts w:ascii="Calibri" w:eastAsia="Times New Roman" w:hAnsi="Calibri" w:cs="Calibri"/>
          <w:color w:val="000000"/>
        </w:rPr>
        <w:t>relativt sett tredj</w:t>
      </w:r>
      <w:r w:rsidR="00542438">
        <w:rPr>
          <w:rFonts w:ascii="Calibri" w:eastAsia="Times New Roman" w:hAnsi="Calibri" w:cs="Calibri"/>
          <w:color w:val="000000"/>
        </w:rPr>
        <w:t>e</w:t>
      </w:r>
      <w:r w:rsidR="00FD5716">
        <w:rPr>
          <w:rFonts w:ascii="Calibri" w:eastAsia="Times New Roman" w:hAnsi="Calibri" w:cs="Calibri"/>
          <w:color w:val="000000"/>
        </w:rPr>
        <w:t xml:space="preserve"> mins</w:t>
      </w:r>
      <w:r w:rsidR="00542438">
        <w:rPr>
          <w:rFonts w:ascii="Calibri" w:eastAsia="Times New Roman" w:hAnsi="Calibri" w:cs="Calibri"/>
          <w:color w:val="000000"/>
        </w:rPr>
        <w:t>t</w:t>
      </w:r>
      <w:r w:rsidR="00FD5716">
        <w:rPr>
          <w:rFonts w:ascii="Calibri" w:eastAsia="Times New Roman" w:hAnsi="Calibri" w:cs="Calibri"/>
          <w:color w:val="000000"/>
        </w:rPr>
        <w:t xml:space="preserve"> sammenliknet med de andre</w:t>
      </w:r>
      <w:r w:rsidR="008B29EF">
        <w:rPr>
          <w:rFonts w:ascii="Calibri" w:eastAsia="Times New Roman" w:hAnsi="Calibri" w:cs="Calibri"/>
          <w:color w:val="000000"/>
        </w:rPr>
        <w:t xml:space="preserve">). </w:t>
      </w:r>
    </w:p>
    <w:p w14:paraId="4A778D18" w14:textId="47BD791C" w:rsidR="00013888" w:rsidRDefault="00013888" w:rsidP="004F0F25">
      <w:pPr>
        <w:spacing w:after="0" w:line="240" w:lineRule="auto"/>
        <w:textAlignment w:val="baseline"/>
        <w:rPr>
          <w:rFonts w:ascii="Calibri" w:eastAsia="Times New Roman" w:hAnsi="Calibri" w:cs="Calibri"/>
          <w:color w:val="000000"/>
        </w:rPr>
      </w:pPr>
    </w:p>
    <w:p w14:paraId="293064D3" w14:textId="0515D54E" w:rsidR="008C593D" w:rsidRDefault="003A1B73" w:rsidP="505B6C1C">
      <w:pPr>
        <w:spacing w:after="0" w:line="240" w:lineRule="auto"/>
        <w:rPr>
          <w:rFonts w:ascii="Calibri" w:eastAsia="Times New Roman" w:hAnsi="Calibri" w:cs="Calibri"/>
          <w:color w:val="000000" w:themeColor="accent6"/>
        </w:rPr>
      </w:pPr>
      <w:bookmarkStart w:id="8" w:name="_Hlk105577078"/>
      <w:r>
        <w:rPr>
          <w:rFonts w:ascii="Calibri" w:eastAsia="Times New Roman" w:hAnsi="Calibri" w:cs="Calibri"/>
          <w:color w:val="000000" w:themeColor="accent6"/>
        </w:rPr>
        <w:t xml:space="preserve">Offentlig </w:t>
      </w:r>
      <w:bookmarkEnd w:id="8"/>
      <w:r w:rsidR="00CA504F" w:rsidRPr="505B6C1C">
        <w:rPr>
          <w:rFonts w:ascii="Calibri" w:eastAsia="Times New Roman" w:hAnsi="Calibri" w:cs="Calibri"/>
          <w:color w:val="000000" w:themeColor="accent6"/>
        </w:rPr>
        <w:t>sektor</w:t>
      </w:r>
      <w:r w:rsidR="00B73D62" w:rsidRPr="505B6C1C">
        <w:rPr>
          <w:rFonts w:ascii="Calibri" w:eastAsia="Times New Roman" w:hAnsi="Calibri" w:cs="Calibri"/>
          <w:color w:val="000000" w:themeColor="accent6"/>
        </w:rPr>
        <w:t>-</w:t>
      </w:r>
      <w:r w:rsidR="00CA504F" w:rsidRPr="505B6C1C">
        <w:rPr>
          <w:rFonts w:ascii="Calibri" w:eastAsia="Times New Roman" w:hAnsi="Calibri" w:cs="Calibri"/>
          <w:color w:val="000000" w:themeColor="accent6"/>
        </w:rPr>
        <w:t>ph.d. inngår i porteføljene Demokrati, styring og fornyelse</w:t>
      </w:r>
      <w:r w:rsidR="008C593D" w:rsidRPr="505B6C1C">
        <w:rPr>
          <w:rFonts w:ascii="Calibri" w:eastAsia="Times New Roman" w:hAnsi="Calibri" w:cs="Calibri"/>
          <w:color w:val="000000" w:themeColor="accent6"/>
        </w:rPr>
        <w:t>. Dette f</w:t>
      </w:r>
      <w:r w:rsidR="00D02608" w:rsidRPr="505B6C1C">
        <w:rPr>
          <w:rFonts w:ascii="Calibri" w:eastAsia="Times New Roman" w:hAnsi="Calibri" w:cs="Calibri"/>
          <w:color w:val="000000" w:themeColor="accent6"/>
        </w:rPr>
        <w:t xml:space="preserve">orklarer </w:t>
      </w:r>
      <w:r w:rsidR="00CA504F" w:rsidRPr="505B6C1C">
        <w:rPr>
          <w:rFonts w:ascii="Calibri" w:eastAsia="Times New Roman" w:hAnsi="Calibri" w:cs="Calibri"/>
          <w:color w:val="000000" w:themeColor="accent6"/>
        </w:rPr>
        <w:t xml:space="preserve">hvorfor en såpass høy andel av </w:t>
      </w:r>
      <w:r w:rsidR="00D02608" w:rsidRPr="505B6C1C">
        <w:rPr>
          <w:rFonts w:ascii="Calibri" w:eastAsia="Times New Roman" w:hAnsi="Calibri" w:cs="Calibri"/>
          <w:color w:val="000000" w:themeColor="accent6"/>
        </w:rPr>
        <w:t>de</w:t>
      </w:r>
      <w:r w:rsidR="008C593D" w:rsidRPr="505B6C1C">
        <w:rPr>
          <w:rFonts w:ascii="Calibri" w:eastAsia="Times New Roman" w:hAnsi="Calibri" w:cs="Calibri"/>
          <w:color w:val="000000" w:themeColor="accent6"/>
        </w:rPr>
        <w:t xml:space="preserve">nne porteføljens </w:t>
      </w:r>
      <w:r w:rsidR="00CA504F" w:rsidRPr="505B6C1C">
        <w:rPr>
          <w:rFonts w:ascii="Calibri" w:eastAsia="Times New Roman" w:hAnsi="Calibri" w:cs="Calibri"/>
          <w:color w:val="000000" w:themeColor="accent6"/>
        </w:rPr>
        <w:t>budsjett brukes til rekrutteringsstillinger</w:t>
      </w:r>
      <w:r w:rsidR="008C593D" w:rsidRPr="505B6C1C">
        <w:rPr>
          <w:rFonts w:ascii="Calibri" w:eastAsia="Times New Roman" w:hAnsi="Calibri" w:cs="Calibri"/>
          <w:color w:val="000000" w:themeColor="accent6"/>
        </w:rPr>
        <w:t xml:space="preserve"> (tredj</w:t>
      </w:r>
      <w:r w:rsidR="00B73D62" w:rsidRPr="505B6C1C">
        <w:rPr>
          <w:rFonts w:ascii="Calibri" w:eastAsia="Times New Roman" w:hAnsi="Calibri" w:cs="Calibri"/>
          <w:color w:val="000000" w:themeColor="accent6"/>
        </w:rPr>
        <w:t>e</w:t>
      </w:r>
      <w:r w:rsidR="008C593D" w:rsidRPr="505B6C1C">
        <w:rPr>
          <w:rFonts w:ascii="Calibri" w:eastAsia="Times New Roman" w:hAnsi="Calibri" w:cs="Calibri"/>
          <w:color w:val="000000" w:themeColor="accent6"/>
        </w:rPr>
        <w:t xml:space="preserve"> mest av satsingene i oversikten)</w:t>
      </w:r>
      <w:r w:rsidR="00CA504F" w:rsidRPr="505B6C1C">
        <w:rPr>
          <w:rFonts w:ascii="Calibri" w:eastAsia="Times New Roman" w:hAnsi="Calibri" w:cs="Calibri"/>
          <w:color w:val="000000" w:themeColor="accent6"/>
        </w:rPr>
        <w:t xml:space="preserve">.  </w:t>
      </w:r>
    </w:p>
    <w:p w14:paraId="68309F04" w14:textId="26E1E460" w:rsidR="505B6C1C" w:rsidRDefault="505B6C1C" w:rsidP="505B6C1C">
      <w:pPr>
        <w:spacing w:after="0" w:line="240" w:lineRule="auto"/>
        <w:rPr>
          <w:rFonts w:ascii="Calibri" w:eastAsia="Times New Roman" w:hAnsi="Calibri" w:cs="Calibri"/>
          <w:color w:val="000000" w:themeColor="accent6"/>
        </w:rPr>
      </w:pPr>
    </w:p>
    <w:p w14:paraId="3AC454E4" w14:textId="6934E549" w:rsidR="00D83DF6" w:rsidRDefault="00D83DF6"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Liv</w:t>
      </w:r>
      <w:r w:rsidR="00B73D62">
        <w:rPr>
          <w:rFonts w:ascii="Calibri" w:eastAsia="Times New Roman" w:hAnsi="Calibri" w:cs="Calibri"/>
          <w:color w:val="000000"/>
        </w:rPr>
        <w:t>s</w:t>
      </w:r>
      <w:r>
        <w:rPr>
          <w:rFonts w:ascii="Calibri" w:eastAsia="Times New Roman" w:hAnsi="Calibri" w:cs="Calibri"/>
          <w:color w:val="000000"/>
        </w:rPr>
        <w:t xml:space="preserve">vitenskap bruker høyest andel av budsjettet til postdoktorårsverk. Sammenliknet med de andre porteføljene bruker de like stor andel av </w:t>
      </w:r>
      <w:r w:rsidR="009320F3">
        <w:rPr>
          <w:rFonts w:ascii="Calibri" w:eastAsia="Times New Roman" w:hAnsi="Calibri" w:cs="Calibri"/>
          <w:color w:val="000000"/>
        </w:rPr>
        <w:t>budsjettet</w:t>
      </w:r>
      <w:r>
        <w:rPr>
          <w:rFonts w:ascii="Calibri" w:eastAsia="Times New Roman" w:hAnsi="Calibri" w:cs="Calibri"/>
          <w:color w:val="000000"/>
        </w:rPr>
        <w:t xml:space="preserve"> til rekrutteringsårsve</w:t>
      </w:r>
      <w:r w:rsidR="009320F3">
        <w:rPr>
          <w:rFonts w:ascii="Calibri" w:eastAsia="Times New Roman" w:hAnsi="Calibri" w:cs="Calibri"/>
          <w:color w:val="000000"/>
        </w:rPr>
        <w:t>r</w:t>
      </w:r>
      <w:r>
        <w:rPr>
          <w:rFonts w:ascii="Calibri" w:eastAsia="Times New Roman" w:hAnsi="Calibri" w:cs="Calibri"/>
          <w:color w:val="000000"/>
        </w:rPr>
        <w:t>k som Demokrati, styring og fornyelse (tredj</w:t>
      </w:r>
      <w:r w:rsidR="00B73D62">
        <w:rPr>
          <w:rFonts w:ascii="Calibri" w:eastAsia="Times New Roman" w:hAnsi="Calibri" w:cs="Calibri"/>
          <w:color w:val="000000"/>
        </w:rPr>
        <w:t>e</w:t>
      </w:r>
      <w:r>
        <w:rPr>
          <w:rFonts w:ascii="Calibri" w:eastAsia="Times New Roman" w:hAnsi="Calibri" w:cs="Calibri"/>
          <w:color w:val="000000"/>
        </w:rPr>
        <w:t xml:space="preserve"> mest av porteføljene). </w:t>
      </w:r>
    </w:p>
    <w:p w14:paraId="492FFCDF" w14:textId="77777777" w:rsidR="004A28EA" w:rsidRDefault="004A28EA" w:rsidP="004F0F25">
      <w:pPr>
        <w:spacing w:after="0" w:line="240" w:lineRule="auto"/>
        <w:textAlignment w:val="baseline"/>
        <w:rPr>
          <w:rFonts w:ascii="Calibri" w:eastAsia="Times New Roman" w:hAnsi="Calibri" w:cs="Calibri"/>
          <w:color w:val="000000"/>
        </w:rPr>
      </w:pPr>
    </w:p>
    <w:p w14:paraId="415426CA" w14:textId="60C4B49C" w:rsidR="004A28EA" w:rsidRDefault="004A28EA" w:rsidP="004F0F25">
      <w:pPr>
        <w:spacing w:after="0" w:line="240" w:lineRule="auto"/>
        <w:textAlignment w:val="baseline"/>
        <w:rPr>
          <w:rFonts w:ascii="Calibri" w:eastAsia="Times New Roman" w:hAnsi="Calibri" w:cs="Calibri"/>
          <w:color w:val="000000"/>
        </w:rPr>
      </w:pPr>
      <w:r w:rsidRPr="505B6C1C">
        <w:rPr>
          <w:rFonts w:ascii="Calibri" w:eastAsia="Times New Roman" w:hAnsi="Calibri" w:cs="Calibri"/>
          <w:color w:val="000000" w:themeColor="accent6"/>
        </w:rPr>
        <w:t>Når vi ser på den samlede investeringsinnsatsen både til doktor</w:t>
      </w:r>
      <w:r w:rsidR="0010602F">
        <w:rPr>
          <w:rFonts w:ascii="Calibri" w:eastAsia="Times New Roman" w:hAnsi="Calibri" w:cs="Calibri"/>
          <w:color w:val="000000" w:themeColor="accent6"/>
        </w:rPr>
        <w:t>stipendiat</w:t>
      </w:r>
      <w:r w:rsidRPr="505B6C1C">
        <w:rPr>
          <w:rFonts w:ascii="Calibri" w:eastAsia="Times New Roman" w:hAnsi="Calibri" w:cs="Calibri"/>
          <w:color w:val="000000" w:themeColor="accent6"/>
        </w:rPr>
        <w:t>årsverk og postdoktorårsverk, kommer humaniora og samfunnsvitenskap (Humsam) og naturvitenskap og teknologi (Nat</w:t>
      </w:r>
      <w:r w:rsidR="00771384" w:rsidRPr="505B6C1C">
        <w:rPr>
          <w:rFonts w:ascii="Calibri" w:eastAsia="Times New Roman" w:hAnsi="Calibri" w:cs="Calibri"/>
          <w:color w:val="000000" w:themeColor="accent6"/>
        </w:rPr>
        <w:t>ek</w:t>
      </w:r>
      <w:r w:rsidRPr="505B6C1C">
        <w:rPr>
          <w:rFonts w:ascii="Calibri" w:eastAsia="Times New Roman" w:hAnsi="Calibri" w:cs="Calibri"/>
          <w:color w:val="000000" w:themeColor="accent6"/>
        </w:rPr>
        <w:t>), høyt opp i oversikten over porteføljer som bruker relativt høy andel av budsjettet til rekrutteringsstillinger. Begge bruker tilnærmet like høy andel av budsjettet til doktorgrads- og postdoktorstillinger, henholdsvis 24 og 21 prosent for Humsam og 26 og 24 prosent for Nat</w:t>
      </w:r>
      <w:r w:rsidR="00771384" w:rsidRPr="505B6C1C">
        <w:rPr>
          <w:rFonts w:ascii="Calibri" w:eastAsia="Times New Roman" w:hAnsi="Calibri" w:cs="Calibri"/>
          <w:color w:val="000000" w:themeColor="accent6"/>
        </w:rPr>
        <w:t>ek</w:t>
      </w:r>
      <w:r w:rsidRPr="505B6C1C">
        <w:rPr>
          <w:rFonts w:ascii="Calibri" w:eastAsia="Times New Roman" w:hAnsi="Calibri" w:cs="Calibri"/>
          <w:color w:val="000000" w:themeColor="accent6"/>
        </w:rPr>
        <w:t>. Sammen med Liv</w:t>
      </w:r>
      <w:r w:rsidR="00B73D62" w:rsidRPr="505B6C1C">
        <w:rPr>
          <w:rFonts w:ascii="Calibri" w:eastAsia="Times New Roman" w:hAnsi="Calibri" w:cs="Calibri"/>
          <w:color w:val="000000" w:themeColor="accent6"/>
        </w:rPr>
        <w:t>s</w:t>
      </w:r>
      <w:r w:rsidRPr="505B6C1C">
        <w:rPr>
          <w:rFonts w:ascii="Calibri" w:eastAsia="Times New Roman" w:hAnsi="Calibri" w:cs="Calibri"/>
          <w:color w:val="000000" w:themeColor="accent6"/>
        </w:rPr>
        <w:t xml:space="preserve">vitenskap, er det disse porteføljene som bruker størst andel av sine budsjetter til </w:t>
      </w:r>
      <w:r w:rsidRPr="505B6C1C">
        <w:rPr>
          <w:rFonts w:ascii="Calibri" w:eastAsia="Times New Roman" w:hAnsi="Calibri" w:cs="Calibri"/>
          <w:color w:val="000000" w:themeColor="accent6"/>
        </w:rPr>
        <w:lastRenderedPageBreak/>
        <w:t xml:space="preserve">postdoktorårsverk. </w:t>
      </w:r>
      <w:r w:rsidR="00010E07" w:rsidRPr="505B6C1C">
        <w:rPr>
          <w:rFonts w:ascii="Calibri" w:eastAsia="Times New Roman" w:hAnsi="Calibri" w:cs="Calibri"/>
          <w:color w:val="000000" w:themeColor="accent6"/>
        </w:rPr>
        <w:t xml:space="preserve">Dette er porteføljer som finansierer en svært høy andel av doktor- og postdoktorårsverk knyttet til prosjekter i </w:t>
      </w:r>
      <w:r w:rsidR="00113184">
        <w:rPr>
          <w:rFonts w:ascii="Calibri" w:eastAsia="Times New Roman" w:hAnsi="Calibri" w:cs="Calibri"/>
          <w:color w:val="000000" w:themeColor="accent6"/>
        </w:rPr>
        <w:t>U</w:t>
      </w:r>
      <w:r w:rsidR="00010E07" w:rsidRPr="505B6C1C">
        <w:rPr>
          <w:rFonts w:ascii="Calibri" w:eastAsia="Times New Roman" w:hAnsi="Calibri" w:cs="Calibri"/>
          <w:color w:val="000000" w:themeColor="accent6"/>
        </w:rPr>
        <w:t xml:space="preserve">niversitets- og høgskolesektoren. Postdoktorstillingen skal </w:t>
      </w:r>
      <w:r w:rsidR="008C748B">
        <w:rPr>
          <w:rFonts w:ascii="Calibri" w:eastAsia="Times New Roman" w:hAnsi="Calibri" w:cs="Calibri"/>
          <w:color w:val="000000" w:themeColor="accent6"/>
        </w:rPr>
        <w:t>tilrettelegge for at postdoktorer bygger opp en selvstendig forskerprofil, og der forskning er stillingens hovedfokus.</w:t>
      </w:r>
    </w:p>
    <w:p w14:paraId="25205964" w14:textId="5EB684FB" w:rsidR="004A28EA" w:rsidRDefault="004A28EA" w:rsidP="004F0F25">
      <w:pPr>
        <w:spacing w:after="0" w:line="240" w:lineRule="auto"/>
        <w:textAlignment w:val="baseline"/>
        <w:rPr>
          <w:rFonts w:ascii="Calibri" w:eastAsia="Times New Roman" w:hAnsi="Calibri" w:cs="Calibri"/>
          <w:color w:val="000000"/>
        </w:rPr>
      </w:pPr>
    </w:p>
    <w:p w14:paraId="35FA7959" w14:textId="2812DA10" w:rsidR="004F0F25" w:rsidRPr="004F0F25" w:rsidRDefault="00FD5716"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Porteføljene som </w:t>
      </w:r>
      <w:r w:rsidR="001C694D">
        <w:rPr>
          <w:rFonts w:ascii="Calibri" w:eastAsia="Times New Roman" w:hAnsi="Calibri" w:cs="Calibri"/>
          <w:color w:val="000000"/>
        </w:rPr>
        <w:t>relativt sett</w:t>
      </w:r>
      <w:r w:rsidR="001C694D" w:rsidDel="001C694D">
        <w:rPr>
          <w:rFonts w:ascii="Calibri" w:eastAsia="Times New Roman" w:hAnsi="Calibri" w:cs="Calibri"/>
          <w:color w:val="000000"/>
        </w:rPr>
        <w:t xml:space="preserve"> </w:t>
      </w:r>
      <w:r>
        <w:rPr>
          <w:rFonts w:ascii="Calibri" w:eastAsia="Times New Roman" w:hAnsi="Calibri" w:cs="Calibri"/>
          <w:color w:val="000000"/>
        </w:rPr>
        <w:t xml:space="preserve">færrest rekrutteringsårsverk er </w:t>
      </w:r>
      <w:r w:rsidR="00D83DF6">
        <w:rPr>
          <w:rFonts w:ascii="Calibri" w:eastAsia="Times New Roman" w:hAnsi="Calibri" w:cs="Calibri"/>
          <w:color w:val="000000"/>
        </w:rPr>
        <w:t>i</w:t>
      </w:r>
      <w:r>
        <w:rPr>
          <w:rFonts w:ascii="Calibri" w:eastAsia="Times New Roman" w:hAnsi="Calibri" w:cs="Calibri"/>
          <w:color w:val="000000"/>
        </w:rPr>
        <w:t xml:space="preserve">ndustri og tjenestenæringer, deretter hav, </w:t>
      </w:r>
      <w:r w:rsidR="00D83DF6">
        <w:rPr>
          <w:rFonts w:ascii="Calibri" w:eastAsia="Times New Roman" w:hAnsi="Calibri" w:cs="Calibri"/>
          <w:color w:val="000000"/>
        </w:rPr>
        <w:t xml:space="preserve">samisk og landbasert mat, miljø og bioressurser. </w:t>
      </w:r>
      <w:r w:rsidR="0037221E">
        <w:rPr>
          <w:rFonts w:ascii="Calibri" w:eastAsia="Times New Roman" w:hAnsi="Calibri" w:cs="Calibri"/>
          <w:color w:val="000000"/>
        </w:rPr>
        <w:t xml:space="preserve">Om dette er et rimelig nivå vurdert opp mot nasjonale behov, er vurderinger som må gjøres </w:t>
      </w:r>
      <w:r w:rsidR="001C694D">
        <w:rPr>
          <w:rFonts w:ascii="Calibri" w:eastAsia="Times New Roman" w:hAnsi="Calibri" w:cs="Calibri"/>
          <w:color w:val="000000"/>
        </w:rPr>
        <w:t>i de enkelte</w:t>
      </w:r>
      <w:r w:rsidR="0037221E">
        <w:rPr>
          <w:rFonts w:ascii="Calibri" w:eastAsia="Times New Roman" w:hAnsi="Calibri" w:cs="Calibri"/>
          <w:color w:val="000000"/>
        </w:rPr>
        <w:t xml:space="preserve"> porteføljestyrene.  </w:t>
      </w:r>
    </w:p>
    <w:p w14:paraId="650E17D5" w14:textId="77777777" w:rsidR="004F0F25" w:rsidRP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678E2964" w14:textId="50EEB116" w:rsidR="004F0F25" w:rsidRDefault="004F0F25" w:rsidP="004F0F25">
      <w:pPr>
        <w:spacing w:after="0" w:line="240" w:lineRule="auto"/>
        <w:textAlignment w:val="baseline"/>
        <w:rPr>
          <w:rFonts w:ascii="Calibri" w:eastAsia="Times New Roman" w:hAnsi="Calibri" w:cs="Calibri"/>
          <w:color w:val="auto"/>
        </w:rPr>
      </w:pPr>
      <w:r w:rsidRPr="004F0F25">
        <w:rPr>
          <w:rFonts w:ascii="Calibri" w:eastAsia="Times New Roman" w:hAnsi="Calibri" w:cs="Calibri"/>
          <w:b/>
          <w:bCs/>
          <w:i/>
          <w:iCs/>
          <w:color w:val="auto"/>
        </w:rPr>
        <w:t>Teknologirettede og matematisk naturvitenskapelige fagområder dominerer </w:t>
      </w:r>
      <w:r w:rsidRPr="004F0F25">
        <w:rPr>
          <w:rFonts w:ascii="Calibri" w:eastAsia="Times New Roman" w:hAnsi="Calibri" w:cs="Calibri"/>
          <w:color w:val="auto"/>
        </w:rPr>
        <w:t> </w:t>
      </w:r>
    </w:p>
    <w:p w14:paraId="019F8575" w14:textId="64D0969E" w:rsidR="006A7B96" w:rsidRDefault="006A7B96" w:rsidP="006A7B96">
      <w:pPr>
        <w:spacing w:after="0" w:line="240" w:lineRule="auto"/>
        <w:textAlignment w:val="baseline"/>
        <w:rPr>
          <w:rFonts w:ascii="Calibri" w:eastAsia="Times New Roman" w:hAnsi="Calibri" w:cs="Calibri"/>
          <w:color w:val="auto"/>
        </w:rPr>
      </w:pPr>
      <w:r w:rsidRPr="004F0F25">
        <w:rPr>
          <w:rFonts w:ascii="Calibri" w:eastAsia="Times New Roman" w:hAnsi="Calibri" w:cs="Calibri"/>
          <w:color w:val="auto"/>
        </w:rPr>
        <w:t>Den største gruppen av dem som disputerte for doktorgrad ved norske lærersteder i perioden 2000-2018 var innen</w:t>
      </w:r>
      <w:r>
        <w:rPr>
          <w:rFonts w:ascii="Calibri" w:eastAsia="Times New Roman" w:hAnsi="Calibri" w:cs="Calibri"/>
          <w:color w:val="auto"/>
        </w:rPr>
        <w:t>for</w:t>
      </w:r>
      <w:r w:rsidRPr="004F0F25">
        <w:rPr>
          <w:rFonts w:ascii="Calibri" w:eastAsia="Times New Roman" w:hAnsi="Calibri" w:cs="Calibri"/>
          <w:color w:val="auto"/>
        </w:rPr>
        <w:t xml:space="preserve"> medisin og helsefag, fulgt av matematikk og naturvitenskap</w:t>
      </w:r>
      <w:r w:rsidR="008A39A9">
        <w:rPr>
          <w:rStyle w:val="Fotnotereferanse"/>
          <w:rFonts w:ascii="Calibri" w:eastAsia="Times New Roman" w:hAnsi="Calibri" w:cs="Calibri"/>
          <w:color w:val="auto"/>
        </w:rPr>
        <w:footnoteReference w:id="12"/>
      </w:r>
      <w:r w:rsidRPr="004F0F25">
        <w:rPr>
          <w:rFonts w:ascii="Calibri" w:eastAsia="Times New Roman" w:hAnsi="Calibri" w:cs="Calibri"/>
          <w:color w:val="auto"/>
        </w:rPr>
        <w:t xml:space="preserve">. </w:t>
      </w:r>
      <w:r w:rsidR="008A39A9">
        <w:rPr>
          <w:rFonts w:ascii="Calibri" w:eastAsia="Times New Roman" w:hAnsi="Calibri" w:cs="Calibri"/>
          <w:color w:val="auto"/>
        </w:rPr>
        <w:t xml:space="preserve">På nasjonalt nivå utgjorde disse to fagområdene </w:t>
      </w:r>
      <w:r w:rsidRPr="004F0F25">
        <w:rPr>
          <w:rFonts w:ascii="Calibri" w:eastAsia="Times New Roman" w:hAnsi="Calibri" w:cs="Calibri"/>
          <w:color w:val="auto"/>
        </w:rPr>
        <w:t>52</w:t>
      </w:r>
      <w:r>
        <w:rPr>
          <w:rFonts w:ascii="Calibri" w:eastAsia="Times New Roman" w:hAnsi="Calibri" w:cs="Calibri"/>
          <w:color w:val="auto"/>
        </w:rPr>
        <w:t xml:space="preserve"> prosent</w:t>
      </w:r>
      <w:r w:rsidRPr="004F0F25">
        <w:rPr>
          <w:rFonts w:ascii="Calibri" w:eastAsia="Times New Roman" w:hAnsi="Calibri" w:cs="Calibri"/>
          <w:color w:val="auto"/>
        </w:rPr>
        <w:t xml:space="preserve"> av alle avlagte doktorgradene i perioden. Kun 13</w:t>
      </w:r>
      <w:r>
        <w:rPr>
          <w:rFonts w:ascii="Calibri" w:eastAsia="Times New Roman" w:hAnsi="Calibri" w:cs="Calibri"/>
          <w:color w:val="auto"/>
        </w:rPr>
        <w:t xml:space="preserve"> prosent</w:t>
      </w:r>
      <w:r w:rsidRPr="004F0F25">
        <w:rPr>
          <w:rFonts w:ascii="Calibri" w:eastAsia="Times New Roman" w:hAnsi="Calibri" w:cs="Calibri"/>
          <w:color w:val="auto"/>
        </w:rPr>
        <w:t xml:space="preserve"> disputerte innen teknologifag. </w:t>
      </w:r>
      <w:r w:rsidRPr="002A5E17">
        <w:rPr>
          <w:rFonts w:ascii="Calibri" w:eastAsia="Times New Roman" w:hAnsi="Calibri" w:cs="Calibri"/>
          <w:color w:val="auto"/>
        </w:rPr>
        <w:t> </w:t>
      </w:r>
    </w:p>
    <w:p w14:paraId="41A68D47" w14:textId="77777777" w:rsidR="006A7B96" w:rsidRDefault="006A7B96" w:rsidP="006A7B96">
      <w:pPr>
        <w:spacing w:after="0" w:line="240" w:lineRule="auto"/>
        <w:textAlignment w:val="baseline"/>
        <w:rPr>
          <w:rFonts w:ascii="Calibri" w:eastAsia="Times New Roman" w:hAnsi="Calibri" w:cs="Calibri"/>
          <w:color w:val="auto"/>
        </w:rPr>
      </w:pPr>
    </w:p>
    <w:p w14:paraId="22B32275" w14:textId="1929ADE0" w:rsidR="00A47159" w:rsidRPr="002B406D" w:rsidRDefault="006A7B96"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Til sammenlikning er det de teknologirettede og matematisk naturvitenskapelige fagområdene som dominerer Forskningsrådets rekrutteringsportefølje. I 201</w:t>
      </w:r>
      <w:r>
        <w:rPr>
          <w:rFonts w:ascii="Calibri" w:eastAsia="Times New Roman" w:hAnsi="Calibri" w:cs="Calibri"/>
          <w:color w:val="auto"/>
        </w:rPr>
        <w:t>9</w:t>
      </w:r>
      <w:r w:rsidRPr="004F0F25">
        <w:rPr>
          <w:rFonts w:ascii="Calibri" w:eastAsia="Times New Roman" w:hAnsi="Calibri" w:cs="Calibri"/>
          <w:color w:val="auto"/>
        </w:rPr>
        <w:t>-202</w:t>
      </w:r>
      <w:r>
        <w:rPr>
          <w:rFonts w:ascii="Calibri" w:eastAsia="Times New Roman" w:hAnsi="Calibri" w:cs="Calibri"/>
          <w:color w:val="auto"/>
        </w:rPr>
        <w:t>1</w:t>
      </w:r>
      <w:r w:rsidRPr="004F0F25">
        <w:rPr>
          <w:rFonts w:ascii="Calibri" w:eastAsia="Times New Roman" w:hAnsi="Calibri" w:cs="Calibri"/>
          <w:color w:val="auto"/>
        </w:rPr>
        <w:t xml:space="preserve"> utgjorde de hele 5</w:t>
      </w:r>
      <w:r w:rsidR="009611CC">
        <w:rPr>
          <w:rFonts w:ascii="Calibri" w:eastAsia="Times New Roman" w:hAnsi="Calibri" w:cs="Calibri"/>
          <w:color w:val="auto"/>
        </w:rPr>
        <w:t>8</w:t>
      </w:r>
      <w:r>
        <w:rPr>
          <w:rFonts w:ascii="Calibri" w:eastAsia="Times New Roman" w:hAnsi="Calibri" w:cs="Calibri"/>
          <w:color w:val="auto"/>
        </w:rPr>
        <w:t xml:space="preserve"> prosent</w:t>
      </w:r>
      <w:r w:rsidRPr="004F0F25">
        <w:rPr>
          <w:rFonts w:ascii="Calibri" w:eastAsia="Times New Roman" w:hAnsi="Calibri" w:cs="Calibri"/>
          <w:color w:val="auto"/>
        </w:rPr>
        <w:t xml:space="preserve"> av Forskningsrådets totale portefølje av ph.d. årsverk. Medisin og helsefag utgjorde bare 15</w:t>
      </w:r>
      <w:r>
        <w:rPr>
          <w:rFonts w:ascii="Calibri" w:eastAsia="Times New Roman" w:hAnsi="Calibri" w:cs="Calibri"/>
          <w:color w:val="auto"/>
        </w:rPr>
        <w:t xml:space="preserve"> prosent, blant annet som følge av det finnes en rekke andre finansieringskilder innenfor dette området. </w:t>
      </w:r>
    </w:p>
    <w:p w14:paraId="50B218B5" w14:textId="77777777" w:rsidR="00A47159" w:rsidRDefault="00A47159" w:rsidP="004F0F25">
      <w:pPr>
        <w:spacing w:after="0" w:line="240" w:lineRule="auto"/>
        <w:textAlignment w:val="baseline"/>
        <w:rPr>
          <w:rFonts w:ascii="Calibri" w:eastAsia="Times New Roman" w:hAnsi="Calibri" w:cs="Calibri"/>
          <w:color w:val="000000" w:themeColor="accent6"/>
          <w:sz w:val="18"/>
          <w:szCs w:val="18"/>
        </w:rPr>
      </w:pPr>
    </w:p>
    <w:p w14:paraId="700C796C" w14:textId="77777777" w:rsidR="00887BDB" w:rsidRPr="004F0F25" w:rsidRDefault="00887BDB" w:rsidP="004F0F25">
      <w:pPr>
        <w:spacing w:after="0" w:line="240" w:lineRule="auto"/>
        <w:textAlignment w:val="baseline"/>
        <w:rPr>
          <w:rFonts w:ascii="Calibri" w:eastAsia="Times New Roman" w:hAnsi="Calibri" w:cs="Calibri"/>
          <w:color w:val="000000"/>
        </w:rPr>
      </w:pPr>
      <w:r w:rsidRPr="00B77DF5">
        <w:rPr>
          <w:rFonts w:ascii="Calibri" w:eastAsia="Times New Roman" w:hAnsi="Calibri" w:cs="Calibri"/>
          <w:color w:val="000000" w:themeColor="accent6"/>
          <w:sz w:val="18"/>
          <w:szCs w:val="18"/>
        </w:rPr>
        <w:t xml:space="preserve">Figur </w:t>
      </w:r>
      <w:r w:rsidR="002B406D">
        <w:rPr>
          <w:rFonts w:ascii="Calibri" w:eastAsia="Times New Roman" w:hAnsi="Calibri" w:cs="Calibri"/>
          <w:color w:val="000000" w:themeColor="accent6"/>
          <w:sz w:val="18"/>
          <w:szCs w:val="18"/>
        </w:rPr>
        <w:t>4</w:t>
      </w:r>
      <w:r>
        <w:rPr>
          <w:rFonts w:ascii="Calibri" w:eastAsia="Times New Roman" w:hAnsi="Calibri" w:cs="Calibri"/>
          <w:color w:val="000000" w:themeColor="accent6"/>
          <w:sz w:val="18"/>
          <w:szCs w:val="18"/>
        </w:rPr>
        <w:t>.</w:t>
      </w:r>
      <w:r w:rsidR="0019001F">
        <w:rPr>
          <w:rFonts w:ascii="Calibri" w:eastAsia="Times New Roman" w:hAnsi="Calibri" w:cs="Calibri"/>
          <w:color w:val="000000" w:themeColor="accent6"/>
          <w:sz w:val="18"/>
          <w:szCs w:val="18"/>
        </w:rPr>
        <w:t>5</w:t>
      </w:r>
      <w:r>
        <w:rPr>
          <w:rFonts w:ascii="Calibri" w:eastAsia="Times New Roman" w:hAnsi="Calibri" w:cs="Calibri"/>
          <w:color w:val="000000" w:themeColor="accent6"/>
          <w:sz w:val="18"/>
          <w:szCs w:val="18"/>
        </w:rPr>
        <w:t xml:space="preserve"> </w:t>
      </w:r>
      <w:r w:rsidR="006A7B96">
        <w:rPr>
          <w:rFonts w:ascii="Calibri" w:eastAsia="Times New Roman" w:hAnsi="Calibri" w:cs="Calibri"/>
          <w:color w:val="000000" w:themeColor="accent6"/>
          <w:sz w:val="18"/>
          <w:szCs w:val="18"/>
        </w:rPr>
        <w:t>Forskningsrådsfinansierte d</w:t>
      </w:r>
      <w:r>
        <w:rPr>
          <w:rFonts w:ascii="Calibri" w:eastAsia="Times New Roman" w:hAnsi="Calibri" w:cs="Calibri"/>
          <w:color w:val="000000" w:themeColor="accent6"/>
          <w:sz w:val="18"/>
          <w:szCs w:val="18"/>
        </w:rPr>
        <w:t>oktorgradsårsverk fordelt på fagområder i perioden 2019-2021</w:t>
      </w:r>
      <w:r w:rsidR="00A447DB">
        <w:rPr>
          <w:rFonts w:ascii="Calibri" w:eastAsia="Times New Roman" w:hAnsi="Calibri" w:cs="Calibri"/>
          <w:color w:val="000000"/>
        </w:rPr>
        <w:t>.</w:t>
      </w:r>
    </w:p>
    <w:p w14:paraId="48A535DA" w14:textId="2CEE70B6" w:rsidR="005E5B84" w:rsidRDefault="005E5B84" w:rsidP="004F0F25">
      <w:pPr>
        <w:spacing w:after="0" w:line="240" w:lineRule="auto"/>
        <w:textAlignment w:val="baseline"/>
        <w:rPr>
          <w:noProof/>
        </w:rPr>
      </w:pPr>
      <w:r>
        <w:rPr>
          <w:noProof/>
        </w:rPr>
        <w:drawing>
          <wp:inline distT="0" distB="0" distL="0" distR="0" wp14:anchorId="5266C9A9" wp14:editId="244E5A33">
            <wp:extent cx="5759450" cy="4523105"/>
            <wp:effectExtent l="0" t="0" r="12700" b="10795"/>
            <wp:docPr id="6" name="Diagram 6">
              <a:extLst xmlns:a="http://schemas.openxmlformats.org/drawingml/2006/main">
                <a:ext uri="{FF2B5EF4-FFF2-40B4-BE49-F238E27FC236}">
                  <a16:creationId xmlns:a16="http://schemas.microsoft.com/office/drawing/2014/main" id="{1214F669-FB3D-4C88-A605-523099149C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D6CE0C" w14:textId="050FC31E" w:rsidR="004F0F25" w:rsidRDefault="004F0F25" w:rsidP="004F0F25">
      <w:pPr>
        <w:spacing w:after="0" w:line="240" w:lineRule="auto"/>
        <w:textAlignment w:val="baseline"/>
        <w:rPr>
          <w:rFonts w:ascii="Calibri" w:eastAsia="Times New Roman" w:hAnsi="Calibri" w:cs="Calibri"/>
          <w:color w:val="auto"/>
          <w:sz w:val="18"/>
          <w:szCs w:val="18"/>
        </w:rPr>
      </w:pPr>
      <w:r w:rsidRPr="004F0F25">
        <w:rPr>
          <w:rFonts w:ascii="Calibri" w:eastAsia="Times New Roman" w:hAnsi="Calibri" w:cs="Calibri"/>
          <w:color w:val="auto"/>
        </w:rPr>
        <w:t> </w:t>
      </w:r>
      <w:r w:rsidR="00A47159" w:rsidRPr="00A47159">
        <w:rPr>
          <w:rFonts w:ascii="Calibri" w:eastAsia="Times New Roman" w:hAnsi="Calibri" w:cs="Calibri"/>
          <w:color w:val="000000" w:themeColor="accent6"/>
          <w:sz w:val="18"/>
          <w:szCs w:val="18"/>
        </w:rPr>
        <w:t>Kilde: Forskningsrådet</w:t>
      </w:r>
      <w:r w:rsidR="009611CC">
        <w:rPr>
          <w:rFonts w:ascii="Calibri" w:eastAsia="Times New Roman" w:hAnsi="Calibri" w:cs="Calibri"/>
          <w:color w:val="000000" w:themeColor="accent6"/>
          <w:sz w:val="18"/>
          <w:szCs w:val="18"/>
        </w:rPr>
        <w:t>.</w:t>
      </w:r>
    </w:p>
    <w:p w14:paraId="5161FA94" w14:textId="77777777" w:rsidR="00E3476B" w:rsidRDefault="00E3476B" w:rsidP="004F0F25">
      <w:pPr>
        <w:spacing w:after="0" w:line="240" w:lineRule="auto"/>
        <w:textAlignment w:val="baseline"/>
        <w:rPr>
          <w:rFonts w:ascii="Calibri" w:eastAsia="Times New Roman" w:hAnsi="Calibri" w:cs="Calibri"/>
          <w:color w:val="auto"/>
        </w:rPr>
      </w:pPr>
    </w:p>
    <w:p w14:paraId="01C51622" w14:textId="03EEC674"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lastRenderedPageBreak/>
        <w:t xml:space="preserve">Nasjonalt spiller Forskningsrådet en viktig rolle i å bygge kapasitet på teknologiområdet. </w:t>
      </w:r>
      <w:r w:rsidRPr="004F0F25">
        <w:rPr>
          <w:rFonts w:ascii="Calibri" w:eastAsia="Times New Roman" w:hAnsi="Calibri" w:cs="Calibri"/>
          <w:color w:val="auto"/>
        </w:rPr>
        <w:t xml:space="preserve">Tre av de fire porteføljene som finansierte flest </w:t>
      </w:r>
      <w:r w:rsidR="00640269">
        <w:rPr>
          <w:rFonts w:ascii="Calibri" w:eastAsia="Times New Roman" w:hAnsi="Calibri" w:cs="Calibri"/>
          <w:color w:val="auto"/>
        </w:rPr>
        <w:t>doktorstipendiatårsverk</w:t>
      </w:r>
      <w:r w:rsidRPr="004F0F25">
        <w:rPr>
          <w:rFonts w:ascii="Calibri" w:eastAsia="Times New Roman" w:hAnsi="Calibri" w:cs="Calibri"/>
          <w:color w:val="auto"/>
        </w:rPr>
        <w:t xml:space="preserve"> (energi, transport og lavutslipp, SFI og </w:t>
      </w:r>
      <w:r w:rsidR="00E32AC7">
        <w:rPr>
          <w:rFonts w:ascii="Calibri" w:eastAsia="Times New Roman" w:hAnsi="Calibri" w:cs="Calibri"/>
          <w:color w:val="auto"/>
        </w:rPr>
        <w:t>Nærings-ph.d.</w:t>
      </w:r>
      <w:r w:rsidRPr="004F0F25">
        <w:rPr>
          <w:rFonts w:ascii="Calibri" w:eastAsia="Times New Roman" w:hAnsi="Calibri" w:cs="Calibri"/>
          <w:color w:val="auto"/>
        </w:rPr>
        <w:t>) i Forskningsrådets portefølje har flest årsverk knyttet til teknologifagene. SFF som er blant de “fire største”, har sterkest innslag av matematikk og naturvitenskap og nest mest i helsefag.</w:t>
      </w:r>
      <w:r w:rsidRPr="002A5E17">
        <w:rPr>
          <w:rFonts w:ascii="Calibri" w:eastAsia="Times New Roman" w:hAnsi="Calibri" w:cs="Calibri"/>
          <w:color w:val="auto"/>
        </w:rPr>
        <w:t> </w:t>
      </w:r>
    </w:p>
    <w:p w14:paraId="00EEB693" w14:textId="77777777" w:rsidR="004F0F25" w:rsidRPr="002A5E17" w:rsidRDefault="004F0F25" w:rsidP="004F0F25">
      <w:pPr>
        <w:spacing w:after="0" w:line="240" w:lineRule="auto"/>
        <w:textAlignment w:val="baseline"/>
        <w:rPr>
          <w:rFonts w:ascii="Calibri" w:eastAsia="Times New Roman" w:hAnsi="Calibri" w:cs="Calibri"/>
          <w:color w:val="000000"/>
        </w:rPr>
      </w:pPr>
      <w:r w:rsidRPr="002A5E17">
        <w:rPr>
          <w:rFonts w:ascii="Calibri" w:eastAsia="Times New Roman" w:hAnsi="Calibri" w:cs="Calibri"/>
          <w:color w:val="000000"/>
        </w:rPr>
        <w:t> </w:t>
      </w:r>
    </w:p>
    <w:p w14:paraId="60DEE86C" w14:textId="06E8DA3C"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I indikatorrapporten for 2021 framgår det at det er innenfor teknologifagene at vi finner den høyeste andelen av doktorer som forlater akademia. Her står det blant annet at; "</w:t>
      </w:r>
      <w:r w:rsidRPr="004F0F25">
        <w:rPr>
          <w:rFonts w:ascii="Calibri" w:eastAsia="Times New Roman" w:hAnsi="Calibri" w:cs="Calibri"/>
          <w:i/>
          <w:iCs/>
          <w:color w:val="000000"/>
        </w:rPr>
        <w:t>Nær 70 prosent er utenfor akademia i 2019. Vi kan anta at mange av disse har fått jobb i næringslivet, men en del har også forlatt Norge. Teknologi har nemlig den høyeste andelen utenlandske statsborgere blant doktorene, og mange av disse reiser tilbake til hjemlandet eller videre til andre land etter at de har tatt doktorgrad i Norge</w:t>
      </w:r>
      <w:r w:rsidRPr="004F0F25">
        <w:rPr>
          <w:rFonts w:ascii="Calibri" w:eastAsia="Times New Roman" w:hAnsi="Calibri" w:cs="Calibri"/>
          <w:color w:val="000000"/>
        </w:rPr>
        <w:t>".</w:t>
      </w:r>
    </w:p>
    <w:p w14:paraId="7E6A9F0E" w14:textId="54A5F60C" w:rsidR="004F0F25" w:rsidRPr="002A5E17" w:rsidRDefault="00C137E6" w:rsidP="004F0F25">
      <w:pPr>
        <w:spacing w:after="0" w:line="240" w:lineRule="auto"/>
        <w:textAlignment w:val="baseline"/>
        <w:rPr>
          <w:rFonts w:ascii="Calibri" w:eastAsia="Times New Roman" w:hAnsi="Calibri" w:cs="Calibri"/>
          <w:color w:val="000000"/>
        </w:rPr>
      </w:pPr>
      <w:r>
        <w:rPr>
          <w:rFonts w:ascii="Calibri" w:eastAsia="Times New Roman" w:hAnsi="Calibri" w:cs="Calibri"/>
          <w:b/>
          <w:bCs/>
          <w:i/>
          <w:iCs/>
          <w:color w:val="000000"/>
        </w:rPr>
        <w:t>Økende</w:t>
      </w:r>
      <w:r>
        <w:rPr>
          <w:rFonts w:ascii="Calibri" w:eastAsia="Times New Roman" w:hAnsi="Calibri" w:cs="Calibri"/>
          <w:b/>
          <w:bCs/>
          <w:i/>
          <w:iCs/>
          <w:color w:val="auto"/>
        </w:rPr>
        <w:t xml:space="preserve"> andel </w:t>
      </w:r>
      <w:r w:rsidR="005256D6">
        <w:rPr>
          <w:rFonts w:ascii="Calibri" w:eastAsia="Times New Roman" w:hAnsi="Calibri" w:cs="Calibri"/>
          <w:b/>
          <w:bCs/>
          <w:i/>
          <w:iCs/>
          <w:color w:val="auto"/>
        </w:rPr>
        <w:t xml:space="preserve">stipendiatårsverk </w:t>
      </w:r>
      <w:r w:rsidR="004F0F25" w:rsidRPr="004F0F25">
        <w:rPr>
          <w:rFonts w:ascii="Calibri" w:eastAsia="Times New Roman" w:hAnsi="Calibri" w:cs="Calibri"/>
          <w:b/>
          <w:bCs/>
          <w:i/>
          <w:iCs/>
          <w:color w:val="auto"/>
        </w:rPr>
        <w:t xml:space="preserve">til UH-sektoren </w:t>
      </w:r>
    </w:p>
    <w:p w14:paraId="6EB6F8FC" w14:textId="77777777" w:rsidR="00D85D76" w:rsidRDefault="00D85D76" w:rsidP="00D85D76">
      <w:pPr>
        <w:spacing w:after="0" w:line="240" w:lineRule="auto"/>
        <w:textAlignment w:val="baseline"/>
        <w:rPr>
          <w:rFonts w:ascii="Calibri" w:eastAsia="Times New Roman" w:hAnsi="Calibri" w:cs="Calibri"/>
          <w:color w:val="auto"/>
        </w:rPr>
      </w:pPr>
    </w:p>
    <w:p w14:paraId="4F502BB2" w14:textId="2A31122B" w:rsidR="001C6EBA" w:rsidRPr="004B7A0F" w:rsidRDefault="00D85D76" w:rsidP="004B7A0F">
      <w:pPr>
        <w:spacing w:after="0" w:line="240" w:lineRule="auto"/>
        <w:textAlignment w:val="baseline"/>
        <w:rPr>
          <w:rFonts w:ascii="Calibri" w:eastAsia="Times New Roman" w:hAnsi="Calibri" w:cs="Calibri"/>
          <w:i/>
          <w:iCs/>
          <w:color w:val="auto"/>
          <w:sz w:val="20"/>
          <w:szCs w:val="20"/>
        </w:rPr>
      </w:pPr>
      <w:r w:rsidRPr="004B7A0F">
        <w:rPr>
          <w:rFonts w:ascii="Calibri" w:eastAsia="Times New Roman" w:hAnsi="Calibri" w:cs="Calibri"/>
          <w:i/>
          <w:iCs/>
          <w:color w:val="auto"/>
          <w:sz w:val="18"/>
          <w:szCs w:val="18"/>
        </w:rPr>
        <w:t xml:space="preserve">Figur </w:t>
      </w:r>
      <w:r w:rsidR="002B406D">
        <w:rPr>
          <w:rFonts w:ascii="Calibri" w:eastAsia="Times New Roman" w:hAnsi="Calibri" w:cs="Calibri"/>
          <w:i/>
          <w:iCs/>
          <w:color w:val="auto"/>
          <w:sz w:val="18"/>
          <w:szCs w:val="18"/>
        </w:rPr>
        <w:t>4</w:t>
      </w:r>
      <w:r w:rsidR="00993347" w:rsidRPr="004B7A0F">
        <w:rPr>
          <w:rFonts w:ascii="Calibri" w:eastAsia="Times New Roman" w:hAnsi="Calibri" w:cs="Calibri"/>
          <w:i/>
          <w:iCs/>
          <w:color w:val="auto"/>
          <w:sz w:val="18"/>
          <w:szCs w:val="18"/>
        </w:rPr>
        <w:t>.</w:t>
      </w:r>
      <w:r w:rsidR="00A47159">
        <w:rPr>
          <w:rFonts w:ascii="Calibri" w:eastAsia="Times New Roman" w:hAnsi="Calibri" w:cs="Calibri"/>
          <w:i/>
          <w:iCs/>
          <w:color w:val="auto"/>
          <w:sz w:val="18"/>
          <w:szCs w:val="18"/>
        </w:rPr>
        <w:t xml:space="preserve">6 og </w:t>
      </w:r>
      <w:r w:rsidR="002B406D">
        <w:rPr>
          <w:rFonts w:ascii="Calibri" w:eastAsia="Times New Roman" w:hAnsi="Calibri" w:cs="Calibri"/>
          <w:i/>
          <w:iCs/>
          <w:color w:val="auto"/>
          <w:sz w:val="18"/>
          <w:szCs w:val="18"/>
        </w:rPr>
        <w:t>4</w:t>
      </w:r>
      <w:r w:rsidR="00A47159">
        <w:rPr>
          <w:rFonts w:ascii="Calibri" w:eastAsia="Times New Roman" w:hAnsi="Calibri" w:cs="Calibri"/>
          <w:i/>
          <w:iCs/>
          <w:color w:val="auto"/>
          <w:sz w:val="18"/>
          <w:szCs w:val="18"/>
        </w:rPr>
        <w:t>.7</w:t>
      </w:r>
      <w:r w:rsidR="00726908" w:rsidRPr="004B7A0F">
        <w:rPr>
          <w:rFonts w:ascii="Calibri" w:eastAsia="Times New Roman" w:hAnsi="Calibri" w:cs="Calibri"/>
          <w:i/>
          <w:iCs/>
          <w:color w:val="auto"/>
          <w:sz w:val="18"/>
          <w:szCs w:val="18"/>
        </w:rPr>
        <w:t xml:space="preserve"> Doktorgrads</w:t>
      </w:r>
      <w:r w:rsidRPr="004B7A0F">
        <w:rPr>
          <w:rFonts w:ascii="Calibri" w:eastAsia="Times New Roman" w:hAnsi="Calibri" w:cs="Calibri"/>
          <w:i/>
          <w:iCs/>
          <w:color w:val="auto"/>
          <w:sz w:val="18"/>
          <w:szCs w:val="18"/>
        </w:rPr>
        <w:t>- og postdoktorårsverk</w:t>
      </w:r>
      <w:r w:rsidR="002131A0">
        <w:rPr>
          <w:rFonts w:ascii="Calibri" w:eastAsia="Times New Roman" w:hAnsi="Calibri" w:cs="Calibri"/>
          <w:i/>
          <w:iCs/>
          <w:color w:val="auto"/>
          <w:sz w:val="18"/>
          <w:szCs w:val="18"/>
        </w:rPr>
        <w:t xml:space="preserve"> finansiert av Forskningsrådet</w:t>
      </w:r>
      <w:r w:rsidR="00EA4622" w:rsidRPr="004B7A0F">
        <w:rPr>
          <w:rFonts w:ascii="Calibri" w:eastAsia="Times New Roman" w:hAnsi="Calibri" w:cs="Calibri"/>
          <w:i/>
          <w:iCs/>
          <w:color w:val="auto"/>
          <w:sz w:val="18"/>
          <w:szCs w:val="18"/>
        </w:rPr>
        <w:t>. Prosentvis fordeling per</w:t>
      </w:r>
      <w:r w:rsidRPr="004B7A0F">
        <w:rPr>
          <w:rFonts w:ascii="Calibri" w:eastAsia="Times New Roman" w:hAnsi="Calibri" w:cs="Calibri"/>
          <w:i/>
          <w:iCs/>
          <w:color w:val="auto"/>
          <w:sz w:val="18"/>
          <w:szCs w:val="18"/>
        </w:rPr>
        <w:t xml:space="preserve"> sekt</w:t>
      </w:r>
      <w:r w:rsidR="00EA4622" w:rsidRPr="004B7A0F">
        <w:rPr>
          <w:rFonts w:ascii="Calibri" w:eastAsia="Times New Roman" w:hAnsi="Calibri" w:cs="Calibri"/>
          <w:i/>
          <w:iCs/>
          <w:color w:val="auto"/>
          <w:sz w:val="18"/>
          <w:szCs w:val="18"/>
        </w:rPr>
        <w:t>or</w:t>
      </w:r>
      <w:r w:rsidR="00EA4622" w:rsidRPr="004B7A0F">
        <w:rPr>
          <w:rFonts w:ascii="Calibri" w:eastAsia="Times New Roman" w:hAnsi="Calibri" w:cs="Calibri"/>
          <w:i/>
          <w:iCs/>
          <w:color w:val="auto"/>
          <w:sz w:val="20"/>
          <w:szCs w:val="20"/>
        </w:rPr>
        <w:t>.</w:t>
      </w:r>
    </w:p>
    <w:p w14:paraId="260B23B9" w14:textId="15F7A630" w:rsidR="000D7A58" w:rsidRDefault="000D7A58" w:rsidP="000D7A58">
      <w:pPr>
        <w:spacing w:after="0" w:line="240" w:lineRule="auto"/>
        <w:textAlignment w:val="baseline"/>
        <w:rPr>
          <w:rFonts w:ascii="Calibri" w:hAnsi="Calibri" w:cs="Calibri"/>
          <w:noProof/>
        </w:rPr>
      </w:pPr>
      <w:r>
        <w:rPr>
          <w:rFonts w:ascii="Calibri" w:hAnsi="Calibri" w:cs="Calibri"/>
          <w:noProof/>
        </w:rPr>
        <w:drawing>
          <wp:inline distT="0" distB="0" distL="0" distR="0" wp14:anchorId="359D7676" wp14:editId="38BEA8D6">
            <wp:extent cx="2672267" cy="1670685"/>
            <wp:effectExtent l="0" t="0" r="0" b="571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2747" cy="1683489"/>
                    </a:xfrm>
                    <a:prstGeom prst="rect">
                      <a:avLst/>
                    </a:prstGeom>
                    <a:noFill/>
                    <a:ln>
                      <a:noFill/>
                    </a:ln>
                  </pic:spPr>
                </pic:pic>
              </a:graphicData>
            </a:graphic>
          </wp:inline>
        </w:drawing>
      </w:r>
      <w:r>
        <w:rPr>
          <w:rFonts w:ascii="Calibri" w:hAnsi="Calibri" w:cs="Calibri"/>
          <w:noProof/>
        </w:rPr>
        <w:drawing>
          <wp:inline distT="0" distB="0" distL="0" distR="0" wp14:anchorId="0DFCFF9F" wp14:editId="7957B1C8">
            <wp:extent cx="2346000" cy="1657978"/>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0878" cy="1682627"/>
                    </a:xfrm>
                    <a:prstGeom prst="rect">
                      <a:avLst/>
                    </a:prstGeom>
                    <a:noFill/>
                    <a:ln>
                      <a:noFill/>
                    </a:ln>
                  </pic:spPr>
                </pic:pic>
              </a:graphicData>
            </a:graphic>
          </wp:inline>
        </w:drawing>
      </w:r>
    </w:p>
    <w:p w14:paraId="0438BE39" w14:textId="24BCBDB3" w:rsidR="00F46917" w:rsidRDefault="00B948B8" w:rsidP="00B948B8">
      <w:pPr>
        <w:spacing w:after="0" w:line="240" w:lineRule="auto"/>
        <w:textAlignment w:val="baseline"/>
        <w:rPr>
          <w:rFonts w:ascii="Calibri" w:hAnsi="Calibri" w:cs="Calibri"/>
          <w:noProof/>
        </w:rPr>
      </w:pPr>
      <w:r w:rsidRPr="00A47159">
        <w:rPr>
          <w:rFonts w:ascii="Calibri" w:eastAsia="Times New Roman" w:hAnsi="Calibri" w:cs="Calibri"/>
          <w:color w:val="000000" w:themeColor="accent6"/>
          <w:sz w:val="18"/>
          <w:szCs w:val="18"/>
        </w:rPr>
        <w:t>Kilde: Forskningsrådet.</w:t>
      </w:r>
    </w:p>
    <w:p w14:paraId="69600C17" w14:textId="77777777" w:rsidR="00B948B8" w:rsidRDefault="00B948B8" w:rsidP="00B948B8">
      <w:pPr>
        <w:spacing w:after="0" w:line="240" w:lineRule="auto"/>
        <w:textAlignment w:val="baseline"/>
        <w:rPr>
          <w:rFonts w:ascii="Calibri" w:hAnsi="Calibri" w:cs="Calibri"/>
          <w:noProof/>
        </w:rPr>
      </w:pPr>
    </w:p>
    <w:p w14:paraId="4C5BBA8E" w14:textId="692EC668" w:rsidR="006259D9" w:rsidRDefault="00663DB2" w:rsidP="00DC6B41">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auto"/>
        </w:rPr>
        <w:t xml:space="preserve">I </w:t>
      </w:r>
      <w:r>
        <w:rPr>
          <w:rFonts w:ascii="Calibri" w:eastAsia="Times New Roman" w:hAnsi="Calibri" w:cs="Calibri"/>
          <w:color w:val="auto"/>
        </w:rPr>
        <w:t xml:space="preserve">perioden </w:t>
      </w:r>
      <w:r w:rsidRPr="004F0F25">
        <w:rPr>
          <w:rFonts w:ascii="Calibri" w:eastAsia="Times New Roman" w:hAnsi="Calibri" w:cs="Calibri"/>
          <w:color w:val="auto"/>
        </w:rPr>
        <w:t>201</w:t>
      </w:r>
      <w:r w:rsidR="000D7A58">
        <w:rPr>
          <w:rFonts w:ascii="Calibri" w:eastAsia="Times New Roman" w:hAnsi="Calibri" w:cs="Calibri"/>
          <w:color w:val="auto"/>
        </w:rPr>
        <w:t>9</w:t>
      </w:r>
      <w:r w:rsidRPr="004F0F25">
        <w:rPr>
          <w:rFonts w:ascii="Calibri" w:eastAsia="Times New Roman" w:hAnsi="Calibri" w:cs="Calibri"/>
          <w:color w:val="auto"/>
        </w:rPr>
        <w:t>-202</w:t>
      </w:r>
      <w:r w:rsidR="000D7A58">
        <w:rPr>
          <w:rFonts w:ascii="Calibri" w:eastAsia="Times New Roman" w:hAnsi="Calibri" w:cs="Calibri"/>
          <w:color w:val="auto"/>
        </w:rPr>
        <w:t>1</w:t>
      </w:r>
      <w:r w:rsidRPr="004F0F25">
        <w:rPr>
          <w:rFonts w:ascii="Calibri" w:eastAsia="Times New Roman" w:hAnsi="Calibri" w:cs="Calibri"/>
          <w:color w:val="auto"/>
        </w:rPr>
        <w:t xml:space="preserve"> gikk </w:t>
      </w:r>
      <w:r w:rsidR="000D7A58">
        <w:rPr>
          <w:rFonts w:ascii="Calibri" w:eastAsia="Times New Roman" w:hAnsi="Calibri" w:cs="Calibri"/>
          <w:color w:val="auto"/>
        </w:rPr>
        <w:t xml:space="preserve">58 prosent </w:t>
      </w:r>
      <w:r w:rsidRPr="004F0F25">
        <w:rPr>
          <w:rFonts w:ascii="Calibri" w:eastAsia="Times New Roman" w:hAnsi="Calibri" w:cs="Calibri"/>
          <w:color w:val="auto"/>
        </w:rPr>
        <w:t xml:space="preserve">av </w:t>
      </w:r>
      <w:r w:rsidR="008036A0">
        <w:rPr>
          <w:rFonts w:ascii="Calibri" w:eastAsia="Times New Roman" w:hAnsi="Calibri" w:cs="Calibri"/>
          <w:color w:val="auto"/>
        </w:rPr>
        <w:t>fo</w:t>
      </w:r>
      <w:r w:rsidR="000B3BE1">
        <w:rPr>
          <w:rFonts w:ascii="Calibri" w:eastAsia="Times New Roman" w:hAnsi="Calibri" w:cs="Calibri"/>
          <w:color w:val="auto"/>
        </w:rPr>
        <w:t>r</w:t>
      </w:r>
      <w:r w:rsidR="008036A0">
        <w:rPr>
          <w:rFonts w:ascii="Calibri" w:eastAsia="Times New Roman" w:hAnsi="Calibri" w:cs="Calibri"/>
          <w:color w:val="auto"/>
        </w:rPr>
        <w:t>s</w:t>
      </w:r>
      <w:r w:rsidR="000B3BE1">
        <w:rPr>
          <w:rFonts w:ascii="Calibri" w:eastAsia="Times New Roman" w:hAnsi="Calibri" w:cs="Calibri"/>
          <w:color w:val="auto"/>
        </w:rPr>
        <w:t>k</w:t>
      </w:r>
      <w:r w:rsidR="008036A0">
        <w:rPr>
          <w:rFonts w:ascii="Calibri" w:eastAsia="Times New Roman" w:hAnsi="Calibri" w:cs="Calibri"/>
          <w:color w:val="auto"/>
        </w:rPr>
        <w:t xml:space="preserve">ningsrådsfinansierte </w:t>
      </w:r>
      <w:r w:rsidRPr="004F0F25">
        <w:rPr>
          <w:rFonts w:ascii="Calibri" w:eastAsia="Times New Roman" w:hAnsi="Calibri" w:cs="Calibri"/>
          <w:color w:val="auto"/>
        </w:rPr>
        <w:t>doktorgradsårsver</w:t>
      </w:r>
      <w:r w:rsidR="009F3E1F">
        <w:rPr>
          <w:rFonts w:ascii="Calibri" w:eastAsia="Times New Roman" w:hAnsi="Calibri" w:cs="Calibri"/>
          <w:color w:val="auto"/>
        </w:rPr>
        <w:t>k</w:t>
      </w:r>
      <w:r>
        <w:rPr>
          <w:rFonts w:ascii="Calibri" w:eastAsia="Times New Roman" w:hAnsi="Calibri" w:cs="Calibri"/>
          <w:color w:val="auto"/>
        </w:rPr>
        <w:t xml:space="preserve"> til UH-sektoren</w:t>
      </w:r>
      <w:r w:rsidR="00A36420">
        <w:rPr>
          <w:rFonts w:ascii="Calibri" w:eastAsia="Times New Roman" w:hAnsi="Calibri" w:cs="Calibri"/>
          <w:color w:val="auto"/>
        </w:rPr>
        <w:t>, mens 2</w:t>
      </w:r>
      <w:r w:rsidR="000D7A58">
        <w:rPr>
          <w:rFonts w:ascii="Calibri" w:eastAsia="Times New Roman" w:hAnsi="Calibri" w:cs="Calibri"/>
          <w:color w:val="auto"/>
        </w:rPr>
        <w:t xml:space="preserve">0 prosent </w:t>
      </w:r>
      <w:r w:rsidR="00A36420">
        <w:rPr>
          <w:rFonts w:ascii="Calibri" w:eastAsia="Times New Roman" w:hAnsi="Calibri" w:cs="Calibri"/>
          <w:color w:val="auto"/>
        </w:rPr>
        <w:t>gikk til instituttsektoren</w:t>
      </w:r>
      <w:r w:rsidR="006259D9">
        <w:rPr>
          <w:rFonts w:ascii="Calibri" w:eastAsia="Times New Roman" w:hAnsi="Calibri" w:cs="Calibri"/>
          <w:color w:val="auto"/>
        </w:rPr>
        <w:t xml:space="preserve"> og</w:t>
      </w:r>
      <w:r w:rsidR="00A36420">
        <w:rPr>
          <w:rFonts w:ascii="Calibri" w:eastAsia="Times New Roman" w:hAnsi="Calibri" w:cs="Calibri"/>
          <w:color w:val="auto"/>
        </w:rPr>
        <w:t xml:space="preserve"> 11</w:t>
      </w:r>
      <w:r w:rsidR="00C15F3B">
        <w:rPr>
          <w:rFonts w:ascii="Calibri" w:eastAsia="Times New Roman" w:hAnsi="Calibri" w:cs="Calibri"/>
          <w:color w:val="auto"/>
        </w:rPr>
        <w:t xml:space="preserve"> </w:t>
      </w:r>
      <w:r w:rsidR="00534B9C">
        <w:rPr>
          <w:rFonts w:ascii="Calibri" w:eastAsia="Times New Roman" w:hAnsi="Calibri" w:cs="Calibri"/>
          <w:color w:val="auto"/>
        </w:rPr>
        <w:t>prosent</w:t>
      </w:r>
      <w:r w:rsidR="00A36420">
        <w:rPr>
          <w:rFonts w:ascii="Calibri" w:eastAsia="Times New Roman" w:hAnsi="Calibri" w:cs="Calibri"/>
          <w:color w:val="auto"/>
        </w:rPr>
        <w:t xml:space="preserve"> til næringsliv</w:t>
      </w:r>
      <w:r w:rsidR="006259D9">
        <w:rPr>
          <w:rFonts w:ascii="Calibri" w:eastAsia="Times New Roman" w:hAnsi="Calibri" w:cs="Calibri"/>
          <w:color w:val="auto"/>
        </w:rPr>
        <w:t xml:space="preserve">et. </w:t>
      </w:r>
      <w:r w:rsidR="006259D9">
        <w:rPr>
          <w:rFonts w:ascii="Calibri" w:eastAsia="Times New Roman" w:hAnsi="Calibri" w:cs="Calibri"/>
          <w:color w:val="000000"/>
        </w:rPr>
        <w:t>Dok</w:t>
      </w:r>
      <w:r w:rsidR="009320F3">
        <w:rPr>
          <w:rFonts w:ascii="Calibri" w:eastAsia="Times New Roman" w:hAnsi="Calibri" w:cs="Calibri"/>
          <w:color w:val="000000"/>
        </w:rPr>
        <w:t>t</w:t>
      </w:r>
      <w:r w:rsidR="006259D9">
        <w:rPr>
          <w:rFonts w:ascii="Calibri" w:eastAsia="Times New Roman" w:hAnsi="Calibri" w:cs="Calibri"/>
          <w:color w:val="000000"/>
        </w:rPr>
        <w:t xml:space="preserve">orgradsårsverkene i kategorien </w:t>
      </w:r>
      <w:r w:rsidR="00C15F3B">
        <w:rPr>
          <w:rFonts w:ascii="Calibri" w:eastAsia="Times New Roman" w:hAnsi="Calibri" w:cs="Calibri"/>
          <w:color w:val="000000"/>
        </w:rPr>
        <w:t>Ø</w:t>
      </w:r>
      <w:r w:rsidR="006259D9">
        <w:rPr>
          <w:rFonts w:ascii="Calibri" w:eastAsia="Times New Roman" w:hAnsi="Calibri" w:cs="Calibri"/>
          <w:color w:val="000000"/>
        </w:rPr>
        <w:t>vrige</w:t>
      </w:r>
      <w:r w:rsidR="006259D9" w:rsidRPr="004F0F25">
        <w:rPr>
          <w:rFonts w:ascii="Calibri" w:eastAsia="Times New Roman" w:hAnsi="Calibri" w:cs="Calibri"/>
          <w:color w:val="000000"/>
        </w:rPr>
        <w:t xml:space="preserve">, som omfatter </w:t>
      </w:r>
      <w:r w:rsidR="00C15F3B">
        <w:rPr>
          <w:rFonts w:ascii="Calibri" w:eastAsia="Times New Roman" w:hAnsi="Calibri" w:cs="Calibri"/>
          <w:color w:val="000000"/>
        </w:rPr>
        <w:t>o</w:t>
      </w:r>
      <w:r w:rsidR="006259D9" w:rsidRPr="00766757">
        <w:rPr>
          <w:rFonts w:ascii="Calibri" w:eastAsia="Times New Roman" w:hAnsi="Calibri" w:cs="Calibri"/>
          <w:color w:val="000000"/>
        </w:rPr>
        <w:t>ffentlig sektor-ph.d.</w:t>
      </w:r>
      <w:r w:rsidR="006259D9" w:rsidRPr="004F0F25">
        <w:rPr>
          <w:rFonts w:ascii="Calibri" w:eastAsia="Times New Roman" w:hAnsi="Calibri" w:cs="Calibri"/>
          <w:color w:val="000000"/>
        </w:rPr>
        <w:t xml:space="preserve"> og </w:t>
      </w:r>
      <w:r w:rsidR="00C15F3B">
        <w:rPr>
          <w:rFonts w:ascii="Calibri" w:eastAsia="Times New Roman" w:hAnsi="Calibri" w:cs="Calibri"/>
          <w:color w:val="000000"/>
        </w:rPr>
        <w:t>n</w:t>
      </w:r>
      <w:r w:rsidR="006259D9" w:rsidRPr="004F0F25">
        <w:rPr>
          <w:rFonts w:ascii="Calibri" w:eastAsia="Times New Roman" w:hAnsi="Calibri" w:cs="Calibri"/>
          <w:color w:val="000000"/>
        </w:rPr>
        <w:t xml:space="preserve">æringsliv-ph.d., </w:t>
      </w:r>
      <w:r w:rsidR="006259D9">
        <w:rPr>
          <w:rFonts w:ascii="Calibri" w:eastAsia="Times New Roman" w:hAnsi="Calibri" w:cs="Calibri"/>
          <w:color w:val="000000"/>
        </w:rPr>
        <w:t xml:space="preserve">utgjorde </w:t>
      </w:r>
      <w:r w:rsidR="006670C0">
        <w:rPr>
          <w:rFonts w:ascii="Calibri" w:eastAsia="Times New Roman" w:hAnsi="Calibri" w:cs="Calibri"/>
          <w:color w:val="000000"/>
        </w:rPr>
        <w:t>fem</w:t>
      </w:r>
      <w:r w:rsidR="00980109">
        <w:rPr>
          <w:rFonts w:ascii="Calibri" w:eastAsia="Times New Roman" w:hAnsi="Calibri" w:cs="Calibri"/>
          <w:color w:val="000000"/>
        </w:rPr>
        <w:t xml:space="preserve"> prosent</w:t>
      </w:r>
      <w:r w:rsidR="006F6076">
        <w:rPr>
          <w:rFonts w:ascii="Calibri" w:eastAsia="Times New Roman" w:hAnsi="Calibri" w:cs="Calibri"/>
          <w:color w:val="000000"/>
        </w:rPr>
        <w:t>.</w:t>
      </w:r>
      <w:r w:rsidR="006259D9">
        <w:rPr>
          <w:rFonts w:ascii="Calibri" w:eastAsia="Times New Roman" w:hAnsi="Calibri" w:cs="Calibri"/>
          <w:color w:val="000000"/>
        </w:rPr>
        <w:t xml:space="preserve"> </w:t>
      </w:r>
      <w:r w:rsidR="00C15F3B">
        <w:rPr>
          <w:rFonts w:ascii="Calibri" w:eastAsia="Times New Roman" w:hAnsi="Calibri" w:cs="Calibri"/>
          <w:color w:val="000000"/>
        </w:rPr>
        <w:t xml:space="preserve">I prosent </w:t>
      </w:r>
      <w:r w:rsidR="009320F3">
        <w:rPr>
          <w:rFonts w:ascii="Calibri" w:eastAsia="Times New Roman" w:hAnsi="Calibri" w:cs="Calibri"/>
          <w:color w:val="000000"/>
        </w:rPr>
        <w:t>finansierte</w:t>
      </w:r>
      <w:r w:rsidR="00C15F3B">
        <w:rPr>
          <w:rFonts w:ascii="Calibri" w:eastAsia="Times New Roman" w:hAnsi="Calibri" w:cs="Calibri"/>
          <w:color w:val="000000"/>
        </w:rPr>
        <w:t xml:space="preserve"> </w:t>
      </w:r>
      <w:r w:rsidRPr="004F0F25">
        <w:rPr>
          <w:rFonts w:ascii="Calibri" w:eastAsia="Times New Roman" w:hAnsi="Calibri" w:cs="Calibri"/>
          <w:color w:val="000000"/>
        </w:rPr>
        <w:t xml:space="preserve">Forskningsrådet færrest </w:t>
      </w:r>
      <w:r>
        <w:rPr>
          <w:rFonts w:ascii="Calibri" w:eastAsia="Times New Roman" w:hAnsi="Calibri" w:cs="Calibri"/>
          <w:color w:val="000000"/>
        </w:rPr>
        <w:t>doktorgradså</w:t>
      </w:r>
      <w:r w:rsidRPr="004F0F25">
        <w:rPr>
          <w:rFonts w:ascii="Calibri" w:eastAsia="Times New Roman" w:hAnsi="Calibri" w:cs="Calibri"/>
          <w:color w:val="000000"/>
        </w:rPr>
        <w:t xml:space="preserve">rsverk </w:t>
      </w:r>
      <w:r w:rsidR="0096700C">
        <w:rPr>
          <w:rFonts w:ascii="Calibri" w:eastAsia="Times New Roman" w:hAnsi="Calibri" w:cs="Calibri"/>
          <w:color w:val="000000"/>
        </w:rPr>
        <w:t>i</w:t>
      </w:r>
      <w:r w:rsidRPr="004F0F25">
        <w:rPr>
          <w:rFonts w:ascii="Calibri" w:eastAsia="Times New Roman" w:hAnsi="Calibri" w:cs="Calibri"/>
          <w:color w:val="000000"/>
        </w:rPr>
        <w:t xml:space="preserve"> Helseforetakene</w:t>
      </w:r>
      <w:r w:rsidR="006F6076">
        <w:rPr>
          <w:rFonts w:ascii="Calibri" w:eastAsia="Times New Roman" w:hAnsi="Calibri" w:cs="Calibri"/>
          <w:color w:val="000000"/>
        </w:rPr>
        <w:t xml:space="preserve">. </w:t>
      </w:r>
    </w:p>
    <w:p w14:paraId="26796DBE" w14:textId="77777777" w:rsidR="006259D9" w:rsidRDefault="006259D9" w:rsidP="00DC6B41">
      <w:pPr>
        <w:spacing w:after="0" w:line="240" w:lineRule="auto"/>
        <w:textAlignment w:val="baseline"/>
        <w:rPr>
          <w:rFonts w:ascii="Calibri" w:eastAsia="Times New Roman" w:hAnsi="Calibri" w:cs="Calibri"/>
          <w:color w:val="auto"/>
        </w:rPr>
      </w:pPr>
    </w:p>
    <w:p w14:paraId="3D72F6E6" w14:textId="6DC22981" w:rsidR="00EF41EE" w:rsidRDefault="003D6842" w:rsidP="00C15F3B">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 xml:space="preserve">I perioden 2012 til 2021 har antallet </w:t>
      </w:r>
      <w:r w:rsidR="00EF41EE" w:rsidRPr="004F0F25">
        <w:rPr>
          <w:rFonts w:ascii="Calibri" w:eastAsia="Times New Roman" w:hAnsi="Calibri" w:cs="Calibri"/>
          <w:color w:val="auto"/>
        </w:rPr>
        <w:t>stipendiatårsverk som går til UH-sektoren økt</w:t>
      </w:r>
      <w:r w:rsidR="00C137E6">
        <w:rPr>
          <w:rFonts w:ascii="Calibri" w:eastAsia="Times New Roman" w:hAnsi="Calibri" w:cs="Calibri"/>
          <w:color w:val="auto"/>
        </w:rPr>
        <w:t xml:space="preserve">. </w:t>
      </w:r>
      <w:r w:rsidR="00A04324">
        <w:rPr>
          <w:rFonts w:ascii="Calibri" w:eastAsia="Times New Roman" w:hAnsi="Calibri" w:cs="Calibri"/>
          <w:color w:val="auto"/>
        </w:rPr>
        <w:t>UH-s</w:t>
      </w:r>
      <w:r w:rsidR="00EF41EE" w:rsidRPr="004F0F25">
        <w:rPr>
          <w:rFonts w:ascii="Calibri" w:eastAsia="Times New Roman" w:hAnsi="Calibri" w:cs="Calibri"/>
          <w:color w:val="auto"/>
        </w:rPr>
        <w:t>ektorens prosentandel har styrket seg både på doktorgrads- og postdoktornivå.</w:t>
      </w:r>
      <w:r w:rsidR="00EF41EE">
        <w:rPr>
          <w:rFonts w:ascii="Calibri" w:eastAsia="Times New Roman" w:hAnsi="Calibri" w:cs="Calibri"/>
          <w:color w:val="auto"/>
        </w:rPr>
        <w:t xml:space="preserve"> </w:t>
      </w:r>
    </w:p>
    <w:p w14:paraId="29255386" w14:textId="77777777" w:rsidR="00EF41EE" w:rsidRDefault="00EF41EE">
      <w:pPr>
        <w:spacing w:after="0" w:line="240" w:lineRule="auto"/>
        <w:textAlignment w:val="baseline"/>
        <w:rPr>
          <w:rFonts w:ascii="Calibri" w:eastAsia="Times New Roman" w:hAnsi="Calibri" w:cs="Calibri"/>
          <w:color w:val="auto"/>
        </w:rPr>
      </w:pPr>
    </w:p>
    <w:p w14:paraId="256439AC" w14:textId="4CA6D1F2" w:rsidR="00EF41EE" w:rsidRPr="00E60779" w:rsidRDefault="00EF41EE" w:rsidP="00C708F1">
      <w:pPr>
        <w:spacing w:after="0" w:line="240" w:lineRule="auto"/>
        <w:textAlignment w:val="baseline"/>
        <w:rPr>
          <w:rFonts w:ascii="Calibri" w:eastAsia="Times New Roman" w:hAnsi="Calibri" w:cs="Calibri"/>
          <w:color w:val="auto"/>
        </w:rPr>
      </w:pPr>
      <w:r>
        <w:rPr>
          <w:rFonts w:ascii="Calibri" w:eastAsia="Times New Roman" w:hAnsi="Calibri" w:cs="Calibri"/>
          <w:color w:val="auto"/>
        </w:rPr>
        <w:t xml:space="preserve">Forskningsrådets tildelinger til helseforetakene </w:t>
      </w:r>
      <w:r w:rsidR="005E0E5D">
        <w:rPr>
          <w:rFonts w:ascii="Calibri" w:eastAsia="Times New Roman" w:hAnsi="Calibri" w:cs="Calibri"/>
          <w:color w:val="auto"/>
        </w:rPr>
        <w:t xml:space="preserve">har økt </w:t>
      </w:r>
      <w:r>
        <w:rPr>
          <w:rFonts w:ascii="Calibri" w:eastAsia="Times New Roman" w:hAnsi="Calibri" w:cs="Calibri"/>
          <w:color w:val="auto"/>
        </w:rPr>
        <w:t xml:space="preserve">med </w:t>
      </w:r>
      <w:r w:rsidR="00D46E3A">
        <w:rPr>
          <w:rFonts w:ascii="Calibri" w:eastAsia="Times New Roman" w:hAnsi="Calibri" w:cs="Calibri"/>
          <w:color w:val="auto"/>
        </w:rPr>
        <w:t xml:space="preserve">51 </w:t>
      </w:r>
      <w:r w:rsidR="00534B9C">
        <w:rPr>
          <w:rFonts w:ascii="Calibri" w:eastAsia="Times New Roman" w:hAnsi="Calibri" w:cs="Calibri"/>
          <w:color w:val="auto"/>
        </w:rPr>
        <w:t>prosent</w:t>
      </w:r>
      <w:r>
        <w:rPr>
          <w:rFonts w:ascii="Calibri" w:eastAsia="Times New Roman" w:hAnsi="Calibri" w:cs="Calibri"/>
          <w:color w:val="auto"/>
        </w:rPr>
        <w:t>.</w:t>
      </w:r>
      <w:r>
        <w:rPr>
          <w:rFonts w:ascii="Calibri" w:eastAsia="Times New Roman" w:hAnsi="Calibri" w:cs="Calibri"/>
          <w:color w:val="000000"/>
        </w:rPr>
        <w:t xml:space="preserve"> </w:t>
      </w:r>
      <w:r w:rsidR="00D46E3A">
        <w:rPr>
          <w:rFonts w:ascii="Calibri" w:eastAsia="Times New Roman" w:hAnsi="Calibri" w:cs="Calibri"/>
          <w:color w:val="000000"/>
        </w:rPr>
        <w:t>I</w:t>
      </w:r>
      <w:r w:rsidRPr="004F0F25">
        <w:rPr>
          <w:rFonts w:ascii="Calibri" w:eastAsia="Times New Roman" w:hAnsi="Calibri" w:cs="Calibri"/>
          <w:color w:val="000000"/>
        </w:rPr>
        <w:t xml:space="preserve">nstituttsektoren </w:t>
      </w:r>
      <w:r w:rsidR="00D46E3A">
        <w:rPr>
          <w:rFonts w:ascii="Calibri" w:eastAsia="Times New Roman" w:hAnsi="Calibri" w:cs="Calibri"/>
          <w:color w:val="000000"/>
        </w:rPr>
        <w:t xml:space="preserve">hadde en </w:t>
      </w:r>
      <w:r w:rsidR="005E0E5D">
        <w:rPr>
          <w:rFonts w:ascii="Calibri" w:eastAsia="Times New Roman" w:hAnsi="Calibri" w:cs="Calibri"/>
          <w:color w:val="000000"/>
        </w:rPr>
        <w:t>nedgang</w:t>
      </w:r>
      <w:r w:rsidR="00F46917">
        <w:rPr>
          <w:rFonts w:ascii="Calibri" w:eastAsia="Times New Roman" w:hAnsi="Calibri" w:cs="Calibri"/>
          <w:color w:val="000000"/>
        </w:rPr>
        <w:t xml:space="preserve"> på</w:t>
      </w:r>
      <w:r w:rsidR="005E0E5D">
        <w:rPr>
          <w:rFonts w:ascii="Calibri" w:eastAsia="Times New Roman" w:hAnsi="Calibri" w:cs="Calibri"/>
          <w:color w:val="000000"/>
        </w:rPr>
        <w:t xml:space="preserve"> </w:t>
      </w:r>
      <w:r w:rsidR="00C708F1">
        <w:rPr>
          <w:rFonts w:ascii="Calibri" w:eastAsia="Times New Roman" w:hAnsi="Calibri" w:cs="Calibri"/>
          <w:color w:val="000000"/>
        </w:rPr>
        <w:t xml:space="preserve">28 </w:t>
      </w:r>
      <w:r w:rsidR="00534B9C">
        <w:rPr>
          <w:rFonts w:ascii="Calibri" w:eastAsia="Times New Roman" w:hAnsi="Calibri" w:cs="Calibri"/>
          <w:color w:val="000000"/>
        </w:rPr>
        <w:t>prosent</w:t>
      </w:r>
      <w:r w:rsidR="00C708F1">
        <w:rPr>
          <w:rFonts w:ascii="Calibri" w:eastAsia="Times New Roman" w:hAnsi="Calibri" w:cs="Calibri"/>
          <w:color w:val="000000"/>
        </w:rPr>
        <w:t xml:space="preserve"> i perioden</w:t>
      </w:r>
      <w:r w:rsidR="005E0E5D">
        <w:rPr>
          <w:rFonts w:ascii="Calibri" w:eastAsia="Times New Roman" w:hAnsi="Calibri" w:cs="Calibri"/>
          <w:color w:val="000000"/>
        </w:rPr>
        <w:t xml:space="preserve">, mens næringslivet </w:t>
      </w:r>
      <w:r w:rsidR="00C708F1">
        <w:rPr>
          <w:rFonts w:ascii="Calibri" w:eastAsia="Times New Roman" w:hAnsi="Calibri" w:cs="Calibri"/>
          <w:color w:val="000000"/>
        </w:rPr>
        <w:t xml:space="preserve">styrket seg med </w:t>
      </w:r>
      <w:r w:rsidR="006670C0">
        <w:rPr>
          <w:rFonts w:ascii="Calibri" w:eastAsia="Times New Roman" w:hAnsi="Calibri" w:cs="Calibri"/>
          <w:color w:val="000000"/>
        </w:rPr>
        <w:t>fem</w:t>
      </w:r>
      <w:r w:rsidR="00C15F3B" w:rsidRPr="00C708F1">
        <w:rPr>
          <w:rFonts w:ascii="Calibri" w:eastAsia="Times New Roman" w:hAnsi="Calibri" w:cs="Calibri"/>
          <w:color w:val="000000"/>
        </w:rPr>
        <w:t xml:space="preserve"> </w:t>
      </w:r>
      <w:r w:rsidR="00534B9C" w:rsidRPr="00C708F1">
        <w:rPr>
          <w:rFonts w:ascii="Calibri" w:eastAsia="Times New Roman" w:hAnsi="Calibri" w:cs="Calibri"/>
          <w:color w:val="000000"/>
        </w:rPr>
        <w:t>prosent</w:t>
      </w:r>
      <w:r w:rsidRPr="00C708F1">
        <w:rPr>
          <w:rFonts w:ascii="Calibri" w:eastAsia="Times New Roman" w:hAnsi="Calibri" w:cs="Calibri"/>
          <w:color w:val="000000"/>
        </w:rPr>
        <w:t>.</w:t>
      </w:r>
      <w:r w:rsidRPr="004F0F25">
        <w:rPr>
          <w:rFonts w:ascii="Calibri" w:eastAsia="Times New Roman" w:hAnsi="Calibri" w:cs="Calibri"/>
          <w:color w:val="000000"/>
        </w:rPr>
        <w:t xml:space="preserve"> </w:t>
      </w:r>
    </w:p>
    <w:p w14:paraId="11054225" w14:textId="77777777" w:rsidR="00EF41EE" w:rsidRDefault="00EF41EE" w:rsidP="00C708F1">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6C7BC429" w14:textId="0BE147F0" w:rsidR="004F0F25" w:rsidRPr="002A5E17" w:rsidRDefault="0059259D" w:rsidP="00C708F1">
      <w:pPr>
        <w:spacing w:after="0" w:line="240" w:lineRule="auto"/>
        <w:textAlignment w:val="baseline"/>
        <w:rPr>
          <w:rFonts w:ascii="Calibri" w:eastAsia="Times New Roman" w:hAnsi="Calibri" w:cs="Calibri"/>
          <w:color w:val="000000"/>
        </w:rPr>
      </w:pPr>
      <w:r>
        <w:rPr>
          <w:rFonts w:ascii="Calibri" w:eastAsia="Times New Roman" w:hAnsi="Calibri" w:cs="Calibri"/>
          <w:color w:val="auto"/>
        </w:rPr>
        <w:t>I</w:t>
      </w:r>
      <w:r w:rsidR="004F0F25" w:rsidRPr="004F0F25">
        <w:rPr>
          <w:rFonts w:ascii="Calibri" w:eastAsia="Times New Roman" w:hAnsi="Calibri" w:cs="Calibri"/>
          <w:color w:val="000000"/>
        </w:rPr>
        <w:t xml:space="preserve"> </w:t>
      </w:r>
      <w:r w:rsidR="005812A4">
        <w:rPr>
          <w:rFonts w:ascii="Calibri" w:eastAsia="Times New Roman" w:hAnsi="Calibri" w:cs="Calibri"/>
          <w:color w:val="000000"/>
        </w:rPr>
        <w:t xml:space="preserve">arbeidet </w:t>
      </w:r>
      <w:r w:rsidR="004F0F25" w:rsidRPr="004F0F25">
        <w:rPr>
          <w:rFonts w:ascii="Calibri" w:eastAsia="Times New Roman" w:hAnsi="Calibri" w:cs="Calibri"/>
          <w:color w:val="000000"/>
        </w:rPr>
        <w:t xml:space="preserve">med årsrapporten for 2020 bad Forskningsrådet NIFU </w:t>
      </w:r>
      <w:r w:rsidR="00217DEC">
        <w:rPr>
          <w:rFonts w:ascii="Calibri" w:eastAsia="Times New Roman" w:hAnsi="Calibri" w:cs="Calibri"/>
          <w:color w:val="000000"/>
        </w:rPr>
        <w:t xml:space="preserve">om å </w:t>
      </w:r>
      <w:r w:rsidR="004F0F25" w:rsidRPr="004F0F25">
        <w:rPr>
          <w:rFonts w:ascii="Calibri" w:eastAsia="Times New Roman" w:hAnsi="Calibri" w:cs="Calibri"/>
          <w:color w:val="000000"/>
        </w:rPr>
        <w:t>skille ut forskningsrådsfinansierte doktorer i datagrunnlaget til doktorgradsundersøkelsen. Tallene synliggjorde at Forskningsrådet spiller en viktig rolle for rekruttering av forskere til privat sektor og instituttsektor. Fire til seks år etter disputas hadde 2</w:t>
      </w:r>
      <w:r w:rsidR="00C708F1">
        <w:rPr>
          <w:rFonts w:ascii="Calibri" w:eastAsia="Times New Roman" w:hAnsi="Calibri" w:cs="Calibri"/>
          <w:color w:val="000000"/>
        </w:rPr>
        <w:t>8</w:t>
      </w:r>
      <w:r w:rsidR="004F0F25" w:rsidRPr="004F0F25">
        <w:rPr>
          <w:rFonts w:ascii="Calibri" w:eastAsia="Times New Roman" w:hAnsi="Calibri" w:cs="Calibri"/>
          <w:color w:val="000000"/>
        </w:rPr>
        <w:t xml:space="preserve"> </w:t>
      </w:r>
      <w:r w:rsidR="00534B9C">
        <w:rPr>
          <w:rFonts w:ascii="Calibri" w:eastAsia="Times New Roman" w:hAnsi="Calibri" w:cs="Calibri"/>
          <w:color w:val="000000"/>
        </w:rPr>
        <w:t>prosent</w:t>
      </w:r>
      <w:r w:rsidR="004F0F25" w:rsidRPr="004F0F25">
        <w:rPr>
          <w:rFonts w:ascii="Calibri" w:eastAsia="Times New Roman" w:hAnsi="Calibri" w:cs="Calibri"/>
          <w:color w:val="000000"/>
        </w:rPr>
        <w:t xml:space="preserve"> av de </w:t>
      </w:r>
      <w:r w:rsidR="009D097B">
        <w:rPr>
          <w:rFonts w:ascii="Calibri" w:eastAsia="Times New Roman" w:hAnsi="Calibri" w:cs="Calibri"/>
          <w:color w:val="000000"/>
        </w:rPr>
        <w:t>Fors</w:t>
      </w:r>
      <w:r w:rsidR="00901CD1">
        <w:rPr>
          <w:rFonts w:ascii="Calibri" w:eastAsia="Times New Roman" w:hAnsi="Calibri" w:cs="Calibri"/>
          <w:color w:val="000000"/>
        </w:rPr>
        <w:t>k</w:t>
      </w:r>
      <w:r w:rsidR="009D097B">
        <w:rPr>
          <w:rFonts w:ascii="Calibri" w:eastAsia="Times New Roman" w:hAnsi="Calibri" w:cs="Calibri"/>
          <w:color w:val="000000"/>
        </w:rPr>
        <w:t>ningsråds</w:t>
      </w:r>
      <w:r w:rsidR="004F0F25" w:rsidRPr="004F0F25">
        <w:rPr>
          <w:rFonts w:ascii="Calibri" w:eastAsia="Times New Roman" w:hAnsi="Calibri" w:cs="Calibri"/>
          <w:color w:val="000000"/>
        </w:rPr>
        <w:t xml:space="preserve">finansierte </w:t>
      </w:r>
      <w:r w:rsidR="00C15F3B">
        <w:rPr>
          <w:rFonts w:ascii="Calibri" w:eastAsia="Times New Roman" w:hAnsi="Calibri" w:cs="Calibri"/>
          <w:color w:val="000000"/>
        </w:rPr>
        <w:t xml:space="preserve">doktorene </w:t>
      </w:r>
      <w:r w:rsidR="004F0F25" w:rsidRPr="004F0F25">
        <w:rPr>
          <w:rFonts w:ascii="Calibri" w:eastAsia="Times New Roman" w:hAnsi="Calibri" w:cs="Calibri"/>
          <w:color w:val="000000"/>
        </w:rPr>
        <w:t xml:space="preserve">hovedstilling i det private sammenliknet med 18 </w:t>
      </w:r>
      <w:r w:rsidR="00534B9C">
        <w:rPr>
          <w:rFonts w:ascii="Calibri" w:eastAsia="Times New Roman" w:hAnsi="Calibri" w:cs="Calibri"/>
          <w:color w:val="000000"/>
        </w:rPr>
        <w:t>prosent</w:t>
      </w:r>
      <w:r w:rsidR="004F0F25" w:rsidRPr="004F0F25">
        <w:rPr>
          <w:rFonts w:ascii="Calibri" w:eastAsia="Times New Roman" w:hAnsi="Calibri" w:cs="Calibri"/>
          <w:color w:val="000000"/>
        </w:rPr>
        <w:t xml:space="preserve"> av de egenfinansierte (UH-sektor) og 11</w:t>
      </w:r>
      <w:r w:rsidR="006670C0">
        <w:rPr>
          <w:rFonts w:ascii="Calibri" w:eastAsia="Times New Roman" w:hAnsi="Calibri" w:cs="Calibri"/>
          <w:color w:val="000000"/>
        </w:rPr>
        <w:t xml:space="preserve"> </w:t>
      </w:r>
      <w:r w:rsidR="00534B9C">
        <w:rPr>
          <w:rFonts w:ascii="Calibri" w:eastAsia="Times New Roman" w:hAnsi="Calibri" w:cs="Calibri"/>
          <w:color w:val="000000"/>
        </w:rPr>
        <w:t>prosent</w:t>
      </w:r>
      <w:r w:rsidR="004F0F25" w:rsidRPr="004F0F25">
        <w:rPr>
          <w:rFonts w:ascii="Calibri" w:eastAsia="Times New Roman" w:hAnsi="Calibri" w:cs="Calibri"/>
          <w:color w:val="000000"/>
        </w:rPr>
        <w:t xml:space="preserve"> av doktorene med annen finansiering. </w:t>
      </w:r>
      <w:r w:rsidR="00C708F1">
        <w:rPr>
          <w:rFonts w:ascii="Calibri" w:eastAsia="Times New Roman" w:hAnsi="Calibri" w:cs="Calibri"/>
          <w:color w:val="000000"/>
        </w:rPr>
        <w:t xml:space="preserve">20 </w:t>
      </w:r>
      <w:r w:rsidR="00534B9C">
        <w:rPr>
          <w:rFonts w:ascii="Calibri" w:eastAsia="Times New Roman" w:hAnsi="Calibri" w:cs="Calibri"/>
          <w:color w:val="000000"/>
        </w:rPr>
        <w:t>prosent</w:t>
      </w:r>
      <w:r w:rsidR="004F0F25" w:rsidRPr="004F0F25">
        <w:rPr>
          <w:rFonts w:ascii="Calibri" w:eastAsia="Times New Roman" w:hAnsi="Calibri" w:cs="Calibri"/>
          <w:color w:val="000000"/>
        </w:rPr>
        <w:t xml:space="preserve"> av de NFR-finansierte hadde hovedstilling i instituttsektor sammenliknet med </w:t>
      </w:r>
      <w:r w:rsidR="00806568">
        <w:rPr>
          <w:rFonts w:ascii="Calibri" w:eastAsia="Times New Roman" w:hAnsi="Calibri" w:cs="Calibri"/>
          <w:color w:val="000000"/>
        </w:rPr>
        <w:t>13</w:t>
      </w:r>
      <w:r w:rsidR="00F46917">
        <w:rPr>
          <w:rFonts w:ascii="Calibri" w:eastAsia="Times New Roman" w:hAnsi="Calibri" w:cs="Calibri"/>
          <w:color w:val="000000"/>
        </w:rPr>
        <w:t xml:space="preserve"> </w:t>
      </w:r>
      <w:r w:rsidR="00534B9C">
        <w:rPr>
          <w:rFonts w:ascii="Calibri" w:eastAsia="Times New Roman" w:hAnsi="Calibri" w:cs="Calibri"/>
          <w:color w:val="000000"/>
        </w:rPr>
        <w:t>prosent</w:t>
      </w:r>
      <w:r w:rsidR="004F0F25" w:rsidRPr="004F0F25">
        <w:rPr>
          <w:rFonts w:ascii="Calibri" w:eastAsia="Times New Roman" w:hAnsi="Calibri" w:cs="Calibri"/>
          <w:color w:val="000000"/>
        </w:rPr>
        <w:t xml:space="preserve"> av de internfinansierte og </w:t>
      </w:r>
      <w:r w:rsidR="00983222">
        <w:rPr>
          <w:rFonts w:ascii="Calibri" w:eastAsia="Times New Roman" w:hAnsi="Calibri" w:cs="Calibri"/>
          <w:color w:val="000000"/>
        </w:rPr>
        <w:t>sju</w:t>
      </w:r>
      <w:r w:rsidR="004F0F25" w:rsidRPr="004F0F25">
        <w:rPr>
          <w:rFonts w:ascii="Calibri" w:eastAsia="Times New Roman" w:hAnsi="Calibri" w:cs="Calibri"/>
          <w:color w:val="000000"/>
        </w:rPr>
        <w:t xml:space="preserve"> </w:t>
      </w:r>
      <w:r w:rsidR="00534B9C">
        <w:rPr>
          <w:rFonts w:ascii="Calibri" w:eastAsia="Times New Roman" w:hAnsi="Calibri" w:cs="Calibri"/>
          <w:color w:val="000000"/>
        </w:rPr>
        <w:t>prosent</w:t>
      </w:r>
      <w:r w:rsidR="004F0F25" w:rsidRPr="004F0F25">
        <w:rPr>
          <w:rFonts w:ascii="Calibri" w:eastAsia="Times New Roman" w:hAnsi="Calibri" w:cs="Calibri"/>
          <w:color w:val="000000"/>
        </w:rPr>
        <w:t xml:space="preserve"> av de som oppgav annen finansiering.</w:t>
      </w:r>
      <w:r w:rsidR="004F0F25" w:rsidRPr="002A5E17">
        <w:rPr>
          <w:rFonts w:ascii="Calibri" w:eastAsia="Times New Roman" w:hAnsi="Calibri" w:cs="Calibri"/>
          <w:color w:val="000000"/>
        </w:rPr>
        <w:t> </w:t>
      </w:r>
    </w:p>
    <w:p w14:paraId="208D1FDF" w14:textId="77777777" w:rsidR="00A168C4" w:rsidRDefault="00A168C4" w:rsidP="00C708F1">
      <w:pPr>
        <w:spacing w:after="0" w:line="240" w:lineRule="auto"/>
        <w:textAlignment w:val="baseline"/>
        <w:rPr>
          <w:rFonts w:ascii="Calibri" w:eastAsia="Times New Roman" w:hAnsi="Calibri" w:cs="Calibri"/>
          <w:color w:val="000000"/>
        </w:rPr>
      </w:pPr>
    </w:p>
    <w:p w14:paraId="50DB95C1" w14:textId="5CC4BEB9" w:rsidR="00247EF1" w:rsidRDefault="004F0F25" w:rsidP="00C7192F">
      <w:pPr>
        <w:spacing w:after="0" w:line="240" w:lineRule="auto"/>
        <w:jc w:val="both"/>
        <w:textAlignment w:val="baseline"/>
        <w:rPr>
          <w:rFonts w:ascii="Calibri" w:eastAsia="Times New Roman" w:hAnsi="Calibri" w:cs="Calibri"/>
          <w:b/>
          <w:bCs/>
          <w:i/>
          <w:iCs/>
          <w:color w:val="auto"/>
        </w:rPr>
      </w:pPr>
      <w:r w:rsidRPr="004F0F25">
        <w:rPr>
          <w:rFonts w:ascii="Calibri" w:eastAsia="Times New Roman" w:hAnsi="Calibri" w:cs="Calibri"/>
          <w:color w:val="000000"/>
        </w:rPr>
        <w:t>Om nedgangen i forskningsrådsfinansierte doktorgradsårsverk til instituttsektoren og næringslivet får innvirkning på rekrutteringen til de respektive sektorene er usikkert, og verdt å følge med på. </w:t>
      </w:r>
      <w:r w:rsidRPr="002A5E17">
        <w:rPr>
          <w:rFonts w:ascii="Calibri" w:eastAsia="Times New Roman" w:hAnsi="Calibri" w:cs="Calibri"/>
          <w:color w:val="000000"/>
        </w:rPr>
        <w:t> </w:t>
      </w:r>
      <w:r w:rsidR="00411D08">
        <w:rPr>
          <w:rFonts w:ascii="Calibri" w:eastAsia="Times New Roman" w:hAnsi="Calibri" w:cs="Calibri"/>
          <w:b/>
          <w:bCs/>
          <w:i/>
          <w:iCs/>
          <w:color w:val="auto"/>
        </w:rPr>
        <w:br w:type="page"/>
      </w:r>
      <w:r w:rsidR="00EF548B">
        <w:rPr>
          <w:rFonts w:ascii="Calibri" w:eastAsia="Times New Roman" w:hAnsi="Calibri" w:cs="Calibri"/>
          <w:b/>
          <w:bCs/>
          <w:i/>
          <w:iCs/>
          <w:color w:val="auto"/>
        </w:rPr>
        <w:lastRenderedPageBreak/>
        <w:t>E</w:t>
      </w:r>
      <w:r w:rsidR="00247EF1" w:rsidRPr="00AC4258">
        <w:rPr>
          <w:rFonts w:ascii="Calibri" w:eastAsia="Times New Roman" w:hAnsi="Calibri" w:cs="Calibri"/>
          <w:b/>
          <w:bCs/>
          <w:i/>
          <w:iCs/>
          <w:color w:val="auto"/>
        </w:rPr>
        <w:t xml:space="preserve">tterspørsel etter doktorgradskompetanse </w:t>
      </w:r>
      <w:r w:rsidR="003D6695">
        <w:rPr>
          <w:rFonts w:ascii="Calibri" w:eastAsia="Times New Roman" w:hAnsi="Calibri" w:cs="Calibri"/>
          <w:b/>
          <w:bCs/>
          <w:i/>
          <w:iCs/>
          <w:color w:val="auto"/>
        </w:rPr>
        <w:t xml:space="preserve">varierer </w:t>
      </w:r>
      <w:r w:rsidR="00247EF1" w:rsidRPr="00AC4258">
        <w:rPr>
          <w:rFonts w:ascii="Calibri" w:eastAsia="Times New Roman" w:hAnsi="Calibri" w:cs="Calibri"/>
          <w:b/>
          <w:bCs/>
          <w:i/>
          <w:iCs/>
          <w:color w:val="auto"/>
        </w:rPr>
        <w:t>mellom regionene</w:t>
      </w:r>
    </w:p>
    <w:p w14:paraId="55051677" w14:textId="7BF2705E" w:rsidR="00247EF1" w:rsidRDefault="00247EF1" w:rsidP="004F0F25">
      <w:pPr>
        <w:spacing w:after="0" w:line="240" w:lineRule="auto"/>
        <w:jc w:val="both"/>
        <w:textAlignment w:val="baseline"/>
        <w:rPr>
          <w:rFonts w:ascii="Calibri" w:eastAsia="Times New Roman" w:hAnsi="Calibri" w:cs="Calibri"/>
          <w:b/>
          <w:bCs/>
          <w:i/>
          <w:iCs/>
          <w:color w:val="000000"/>
        </w:rPr>
      </w:pPr>
    </w:p>
    <w:p w14:paraId="0E2DB2B7" w14:textId="689D4960" w:rsidR="00993347" w:rsidRPr="001C6EBA" w:rsidRDefault="00993347" w:rsidP="00993347">
      <w:pPr>
        <w:spacing w:after="0" w:line="240" w:lineRule="auto"/>
        <w:textAlignment w:val="baseline"/>
        <w:rPr>
          <w:rFonts w:ascii="Calibri" w:eastAsia="Times New Roman" w:hAnsi="Calibri" w:cs="Calibri"/>
          <w:color w:val="auto"/>
          <w:sz w:val="20"/>
          <w:szCs w:val="20"/>
        </w:rPr>
      </w:pPr>
      <w:r w:rsidRPr="00663DB2">
        <w:rPr>
          <w:rFonts w:ascii="Calibri" w:eastAsia="Times New Roman" w:hAnsi="Calibri" w:cs="Calibri"/>
          <w:color w:val="auto"/>
          <w:sz w:val="18"/>
          <w:szCs w:val="18"/>
        </w:rPr>
        <w:t>Figur</w:t>
      </w:r>
      <w:r w:rsidR="00203C22">
        <w:rPr>
          <w:rFonts w:ascii="Calibri" w:eastAsia="Times New Roman" w:hAnsi="Calibri" w:cs="Calibri"/>
          <w:color w:val="auto"/>
          <w:sz w:val="18"/>
          <w:szCs w:val="18"/>
        </w:rPr>
        <w:t xml:space="preserve"> </w:t>
      </w:r>
      <w:r w:rsidR="002B406D">
        <w:rPr>
          <w:rFonts w:ascii="Calibri" w:eastAsia="Times New Roman" w:hAnsi="Calibri" w:cs="Calibri"/>
          <w:color w:val="auto"/>
          <w:sz w:val="18"/>
          <w:szCs w:val="18"/>
        </w:rPr>
        <w:t>4</w:t>
      </w:r>
      <w:r w:rsidR="00203C22">
        <w:rPr>
          <w:rFonts w:ascii="Calibri" w:eastAsia="Times New Roman" w:hAnsi="Calibri" w:cs="Calibri"/>
          <w:color w:val="auto"/>
          <w:sz w:val="18"/>
          <w:szCs w:val="18"/>
        </w:rPr>
        <w:t>.</w:t>
      </w:r>
      <w:r w:rsidR="00A47159">
        <w:rPr>
          <w:rFonts w:ascii="Calibri" w:eastAsia="Times New Roman" w:hAnsi="Calibri" w:cs="Calibri"/>
          <w:color w:val="auto"/>
          <w:sz w:val="18"/>
          <w:szCs w:val="18"/>
        </w:rPr>
        <w:t>8</w:t>
      </w:r>
      <w:r w:rsidRPr="00EF41EE">
        <w:rPr>
          <w:rFonts w:ascii="Calibri" w:eastAsia="Times New Roman" w:hAnsi="Calibri" w:cs="Calibri"/>
          <w:color w:val="auto"/>
          <w:sz w:val="18"/>
          <w:szCs w:val="18"/>
        </w:rPr>
        <w:t xml:space="preserve"> </w:t>
      </w:r>
      <w:r>
        <w:rPr>
          <w:rFonts w:ascii="Calibri" w:eastAsia="Times New Roman" w:hAnsi="Calibri" w:cs="Calibri"/>
          <w:color w:val="auto"/>
          <w:sz w:val="18"/>
          <w:szCs w:val="18"/>
        </w:rPr>
        <w:t>FoU-årsverk i Norge etter sektor og region.</w:t>
      </w:r>
      <w:r w:rsidR="00C15F3B">
        <w:rPr>
          <w:rFonts w:ascii="Calibri" w:eastAsia="Times New Roman" w:hAnsi="Calibri" w:cs="Calibri"/>
          <w:color w:val="auto"/>
          <w:sz w:val="18"/>
          <w:szCs w:val="18"/>
        </w:rPr>
        <w:t xml:space="preserve"> </w:t>
      </w:r>
      <w:r>
        <w:rPr>
          <w:rFonts w:ascii="Calibri" w:eastAsia="Times New Roman" w:hAnsi="Calibri" w:cs="Calibri"/>
          <w:color w:val="auto"/>
          <w:sz w:val="18"/>
          <w:szCs w:val="18"/>
        </w:rPr>
        <w:t>2019</w:t>
      </w:r>
      <w:r>
        <w:rPr>
          <w:rFonts w:ascii="Calibri" w:eastAsia="Times New Roman" w:hAnsi="Calibri" w:cs="Calibri"/>
          <w:color w:val="auto"/>
          <w:sz w:val="20"/>
          <w:szCs w:val="20"/>
        </w:rPr>
        <w:t>.</w:t>
      </w:r>
    </w:p>
    <w:p w14:paraId="107C8724" w14:textId="56B48EED" w:rsidR="002A39FA" w:rsidRDefault="00247EF1" w:rsidP="004F0F25">
      <w:pPr>
        <w:spacing w:after="0" w:line="240" w:lineRule="auto"/>
        <w:jc w:val="both"/>
        <w:textAlignment w:val="baseline"/>
        <w:rPr>
          <w:rFonts w:ascii="Calibri" w:eastAsia="Times New Roman" w:hAnsi="Calibri" w:cs="Calibri"/>
          <w:color w:val="000000"/>
        </w:rPr>
      </w:pPr>
      <w:r>
        <w:rPr>
          <w:noProof/>
        </w:rPr>
        <w:drawing>
          <wp:inline distT="0" distB="0" distL="0" distR="0" wp14:anchorId="67DC0817" wp14:editId="425DEF55">
            <wp:extent cx="4391608" cy="2521663"/>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05941" cy="2587313"/>
                    </a:xfrm>
                    <a:prstGeom prst="rect">
                      <a:avLst/>
                    </a:prstGeom>
                  </pic:spPr>
                </pic:pic>
              </a:graphicData>
            </a:graphic>
          </wp:inline>
        </w:drawing>
      </w:r>
    </w:p>
    <w:p w14:paraId="1A47ABDD" w14:textId="4DF7A855" w:rsidR="00247EF1" w:rsidRPr="00AC4258" w:rsidRDefault="00993347" w:rsidP="004F0F25">
      <w:pPr>
        <w:spacing w:after="0" w:line="240" w:lineRule="auto"/>
        <w:jc w:val="both"/>
        <w:textAlignment w:val="baseline"/>
        <w:rPr>
          <w:rFonts w:ascii="Calibri" w:eastAsia="Times New Roman" w:hAnsi="Calibri" w:cs="Calibri"/>
          <w:i/>
          <w:iCs/>
          <w:color w:val="000000"/>
          <w:sz w:val="16"/>
          <w:szCs w:val="16"/>
        </w:rPr>
      </w:pPr>
      <w:r w:rsidRPr="00AC4258">
        <w:rPr>
          <w:rFonts w:ascii="Calibri" w:eastAsia="Times New Roman" w:hAnsi="Calibri" w:cs="Calibri"/>
          <w:i/>
          <w:iCs/>
          <w:color w:val="000000"/>
          <w:sz w:val="16"/>
          <w:szCs w:val="16"/>
        </w:rPr>
        <w:t>Kilde: SSB og NIFU, FoU-statistikk</w:t>
      </w:r>
      <w:r w:rsidR="003B1ADF">
        <w:rPr>
          <w:rFonts w:ascii="Calibri" w:eastAsia="Times New Roman" w:hAnsi="Calibri" w:cs="Calibri"/>
          <w:i/>
          <w:iCs/>
          <w:color w:val="000000"/>
          <w:sz w:val="16"/>
          <w:szCs w:val="16"/>
        </w:rPr>
        <w:t>.</w:t>
      </w:r>
    </w:p>
    <w:p w14:paraId="3591632D" w14:textId="29D6214F" w:rsidR="00993347" w:rsidRDefault="00993347" w:rsidP="004F0F25">
      <w:pPr>
        <w:spacing w:after="0" w:line="240" w:lineRule="auto"/>
        <w:jc w:val="both"/>
        <w:textAlignment w:val="baseline"/>
        <w:rPr>
          <w:rFonts w:ascii="Calibri" w:eastAsia="Times New Roman" w:hAnsi="Calibri" w:cs="Calibri"/>
          <w:color w:val="000000"/>
        </w:rPr>
      </w:pPr>
    </w:p>
    <w:p w14:paraId="16C88DC6" w14:textId="51F47C98" w:rsidR="003D6695" w:rsidRPr="00AC4258" w:rsidRDefault="008E3852" w:rsidP="00C708F1">
      <w:pPr>
        <w:spacing w:after="0" w:line="240" w:lineRule="auto"/>
        <w:textAlignment w:val="baseline"/>
        <w:rPr>
          <w:rStyle w:val="normaltextrun"/>
          <w:rFonts w:ascii="Calibri" w:hAnsi="Calibri" w:cs="Calibri"/>
          <w:color w:val="auto"/>
        </w:rPr>
      </w:pPr>
      <w:r>
        <w:rPr>
          <w:rStyle w:val="normaltextrun"/>
          <w:rFonts w:ascii="Calibri" w:hAnsi="Calibri" w:cs="Calibri"/>
          <w:color w:val="auto"/>
        </w:rPr>
        <w:t xml:space="preserve">I 2019 ble </w:t>
      </w:r>
      <w:r w:rsidR="003D6695" w:rsidRPr="00AC4258">
        <w:rPr>
          <w:rStyle w:val="normaltextrun"/>
          <w:rFonts w:ascii="Calibri" w:hAnsi="Calibri" w:cs="Calibri"/>
          <w:color w:val="auto"/>
        </w:rPr>
        <w:t xml:space="preserve">40 prosent av </w:t>
      </w:r>
      <w:r w:rsidR="00C05D52">
        <w:rPr>
          <w:rStyle w:val="normaltextrun"/>
          <w:rFonts w:ascii="Calibri" w:hAnsi="Calibri" w:cs="Calibri"/>
          <w:color w:val="auto"/>
        </w:rPr>
        <w:t xml:space="preserve">alle </w:t>
      </w:r>
      <w:r w:rsidR="003D6695" w:rsidRPr="00AC4258">
        <w:rPr>
          <w:rStyle w:val="normaltextrun"/>
          <w:rFonts w:ascii="Calibri" w:hAnsi="Calibri" w:cs="Calibri"/>
          <w:color w:val="auto"/>
        </w:rPr>
        <w:t>FoU-årsverk i Norge utført i hovedstad</w:t>
      </w:r>
      <w:r w:rsidR="001B10BE">
        <w:rPr>
          <w:rStyle w:val="normaltextrun"/>
          <w:rFonts w:ascii="Calibri" w:hAnsi="Calibri" w:cs="Calibri"/>
          <w:color w:val="auto"/>
        </w:rPr>
        <w:t>sregionen</w:t>
      </w:r>
      <w:r w:rsidR="003D6695" w:rsidRPr="00AC4258">
        <w:rPr>
          <w:rStyle w:val="normaltextrun"/>
          <w:rFonts w:ascii="Calibri" w:hAnsi="Calibri" w:cs="Calibri"/>
          <w:color w:val="auto"/>
        </w:rPr>
        <w:t xml:space="preserve">. Nest største region var Midt-Norge, tett fulgt av Vestlandet, begge med om lag 20 prosent av FoU-årsverkene. Oslofjordregionen sto for </w:t>
      </w:r>
      <w:r w:rsidR="00B157EC">
        <w:rPr>
          <w:rStyle w:val="normaltextrun"/>
          <w:rFonts w:ascii="Calibri" w:hAnsi="Calibri" w:cs="Calibri"/>
          <w:color w:val="auto"/>
        </w:rPr>
        <w:t>ni</w:t>
      </w:r>
      <w:r w:rsidR="003D6695" w:rsidRPr="00AC4258">
        <w:rPr>
          <w:rStyle w:val="normaltextrun"/>
          <w:rFonts w:ascii="Calibri" w:hAnsi="Calibri" w:cs="Calibri"/>
          <w:color w:val="auto"/>
        </w:rPr>
        <w:t xml:space="preserve"> prosent av FoU-årsverkene, Nord-Norge for </w:t>
      </w:r>
      <w:r w:rsidR="00B157EC">
        <w:rPr>
          <w:rStyle w:val="normaltextrun"/>
          <w:rFonts w:ascii="Calibri" w:hAnsi="Calibri" w:cs="Calibri"/>
          <w:color w:val="auto"/>
        </w:rPr>
        <w:t>sju</w:t>
      </w:r>
      <w:r w:rsidR="003D6695" w:rsidRPr="00AC4258">
        <w:rPr>
          <w:rStyle w:val="normaltextrun"/>
          <w:rFonts w:ascii="Calibri" w:hAnsi="Calibri" w:cs="Calibri"/>
          <w:color w:val="auto"/>
        </w:rPr>
        <w:t xml:space="preserve"> prosent, Agderfylkene for </w:t>
      </w:r>
      <w:r w:rsidR="00B157EC">
        <w:rPr>
          <w:rStyle w:val="normaltextrun"/>
          <w:rFonts w:ascii="Calibri" w:hAnsi="Calibri" w:cs="Calibri"/>
          <w:color w:val="auto"/>
        </w:rPr>
        <w:t>tre</w:t>
      </w:r>
      <w:r w:rsidR="003D6695" w:rsidRPr="00AC4258">
        <w:rPr>
          <w:rStyle w:val="normaltextrun"/>
          <w:rFonts w:ascii="Calibri" w:hAnsi="Calibri" w:cs="Calibri"/>
          <w:color w:val="auto"/>
        </w:rPr>
        <w:t xml:space="preserve"> prosent og Innlandet for </w:t>
      </w:r>
      <w:r w:rsidR="00B157EC">
        <w:rPr>
          <w:rStyle w:val="normaltextrun"/>
          <w:rFonts w:ascii="Calibri" w:hAnsi="Calibri" w:cs="Calibri"/>
          <w:color w:val="auto"/>
        </w:rPr>
        <w:t>to</w:t>
      </w:r>
      <w:r w:rsidR="003D6695" w:rsidRPr="00AC4258">
        <w:rPr>
          <w:rStyle w:val="normaltextrun"/>
          <w:rFonts w:ascii="Calibri" w:hAnsi="Calibri" w:cs="Calibri"/>
          <w:color w:val="auto"/>
        </w:rPr>
        <w:t> prosent. Dette er samme fordeling som i 2017, og indikerer at FoU-innsatsen i de ulike regionene i Norge holder seg innbyrdes stabil.</w:t>
      </w:r>
    </w:p>
    <w:p w14:paraId="1B8883B0" w14:textId="5F30C9E2" w:rsidR="002B1B37" w:rsidRDefault="002B1B37" w:rsidP="005256D6">
      <w:pPr>
        <w:spacing w:after="0" w:line="240" w:lineRule="auto"/>
        <w:textAlignment w:val="baseline"/>
        <w:rPr>
          <w:rFonts w:ascii="Source Sans Pro" w:hAnsi="Source Sans Pro"/>
          <w:color w:val="081319"/>
          <w:sz w:val="27"/>
          <w:szCs w:val="27"/>
          <w:shd w:val="clear" w:color="auto" w:fill="FFFFFF"/>
        </w:rPr>
      </w:pPr>
    </w:p>
    <w:p w14:paraId="6DBDBFDC" w14:textId="4FB49187" w:rsidR="002B1B37" w:rsidRPr="00AC4258" w:rsidRDefault="002B1B37" w:rsidP="00C708F1">
      <w:pPr>
        <w:spacing w:after="0" w:line="240" w:lineRule="auto"/>
        <w:textAlignment w:val="baseline"/>
        <w:rPr>
          <w:rStyle w:val="normaltextrun"/>
          <w:color w:val="auto"/>
          <w:shd w:val="clear" w:color="auto" w:fill="FFFFFF"/>
        </w:rPr>
      </w:pPr>
      <w:r w:rsidRPr="00AC4258">
        <w:rPr>
          <w:rStyle w:val="normaltextrun"/>
          <w:rFonts w:ascii="Calibri" w:hAnsi="Calibri" w:cs="Calibri"/>
          <w:color w:val="auto"/>
        </w:rPr>
        <w:t>Etterspørselen etter forskningskompetent personale varier</w:t>
      </w:r>
      <w:r w:rsidR="00A415D0">
        <w:rPr>
          <w:rStyle w:val="normaltextrun"/>
          <w:rFonts w:ascii="Calibri" w:hAnsi="Calibri" w:cs="Calibri"/>
          <w:color w:val="auto"/>
        </w:rPr>
        <w:t>er</w:t>
      </w:r>
      <w:r w:rsidRPr="00AC4258">
        <w:rPr>
          <w:rStyle w:val="normaltextrun"/>
          <w:rFonts w:ascii="Calibri" w:hAnsi="Calibri" w:cs="Calibri"/>
          <w:color w:val="auto"/>
        </w:rPr>
        <w:t xml:space="preserve"> mellom regioner og type institusjoner. Ifølge NHOs kompetansebarometer 2022 etterspurte </w:t>
      </w:r>
      <w:r w:rsidR="00B157EC">
        <w:rPr>
          <w:rStyle w:val="normaltextrun"/>
          <w:rFonts w:ascii="Calibri" w:hAnsi="Calibri" w:cs="Calibri"/>
          <w:color w:val="auto"/>
        </w:rPr>
        <w:t>åtte</w:t>
      </w:r>
      <w:r w:rsidRPr="00AC4258">
        <w:rPr>
          <w:rStyle w:val="normaltextrun"/>
          <w:rFonts w:ascii="Calibri" w:hAnsi="Calibri" w:cs="Calibri"/>
          <w:color w:val="auto"/>
        </w:rPr>
        <w:t xml:space="preserve"> prosent av medlemsbedriftene i Viken Oslo og Nordland personale med doktorgrad. </w:t>
      </w:r>
      <w:r w:rsidR="00314856">
        <w:rPr>
          <w:rStyle w:val="normaltextrun"/>
          <w:rFonts w:ascii="Calibri" w:hAnsi="Calibri" w:cs="Calibri"/>
          <w:color w:val="auto"/>
        </w:rPr>
        <w:t>Innlandet hadde l</w:t>
      </w:r>
      <w:r w:rsidRPr="00AC4258">
        <w:rPr>
          <w:rStyle w:val="normaltextrun"/>
          <w:rFonts w:ascii="Calibri" w:hAnsi="Calibri" w:cs="Calibri"/>
          <w:color w:val="auto"/>
        </w:rPr>
        <w:t xml:space="preserve">avest etterspørsel etter </w:t>
      </w:r>
      <w:r w:rsidR="00C077D9">
        <w:rPr>
          <w:rStyle w:val="normaltextrun"/>
          <w:rFonts w:ascii="Calibri" w:hAnsi="Calibri" w:cs="Calibri"/>
          <w:color w:val="auto"/>
        </w:rPr>
        <w:t>doktorgradskompetanse</w:t>
      </w:r>
      <w:r w:rsidRPr="00AC4258">
        <w:rPr>
          <w:rStyle w:val="normaltextrun"/>
          <w:rFonts w:ascii="Calibri" w:hAnsi="Calibri" w:cs="Calibri"/>
          <w:color w:val="auto"/>
        </w:rPr>
        <w:t>,</w:t>
      </w:r>
      <w:r w:rsidR="00C077D9">
        <w:rPr>
          <w:rStyle w:val="normaltextrun"/>
          <w:rFonts w:ascii="Calibri" w:hAnsi="Calibri" w:cs="Calibri"/>
          <w:color w:val="auto"/>
        </w:rPr>
        <w:t xml:space="preserve"> bare </w:t>
      </w:r>
      <w:r w:rsidR="00B157EC">
        <w:rPr>
          <w:rStyle w:val="normaltextrun"/>
          <w:rFonts w:ascii="Calibri" w:hAnsi="Calibri" w:cs="Calibri"/>
          <w:color w:val="auto"/>
        </w:rPr>
        <w:t>fire</w:t>
      </w:r>
      <w:r w:rsidR="00C077D9" w:rsidRPr="006620FC">
        <w:rPr>
          <w:rStyle w:val="normaltextrun"/>
          <w:rFonts w:ascii="Calibri" w:hAnsi="Calibri" w:cs="Calibri"/>
          <w:color w:val="auto"/>
        </w:rPr>
        <w:t xml:space="preserve"> prose</w:t>
      </w:r>
      <w:r w:rsidR="00C15F3B">
        <w:rPr>
          <w:rStyle w:val="normaltextrun"/>
          <w:rFonts w:ascii="Calibri" w:hAnsi="Calibri" w:cs="Calibri"/>
          <w:color w:val="auto"/>
        </w:rPr>
        <w:t>n</w:t>
      </w:r>
      <w:r w:rsidR="00C077D9" w:rsidRPr="006620FC">
        <w:rPr>
          <w:rStyle w:val="normaltextrun"/>
          <w:rFonts w:ascii="Calibri" w:hAnsi="Calibri" w:cs="Calibri"/>
          <w:color w:val="auto"/>
        </w:rPr>
        <w:t xml:space="preserve">t av bedriftene etterspurte </w:t>
      </w:r>
      <w:r w:rsidR="00C077D9">
        <w:rPr>
          <w:rStyle w:val="normaltextrun"/>
          <w:rFonts w:ascii="Calibri" w:hAnsi="Calibri" w:cs="Calibri"/>
          <w:color w:val="auto"/>
        </w:rPr>
        <w:t>dette. I Vestfold og Telemark, Rogaland og</w:t>
      </w:r>
      <w:r w:rsidR="00C15F3B">
        <w:rPr>
          <w:rStyle w:val="normaltextrun"/>
          <w:rFonts w:ascii="Calibri" w:hAnsi="Calibri" w:cs="Calibri"/>
          <w:color w:val="auto"/>
        </w:rPr>
        <w:t xml:space="preserve"> </w:t>
      </w:r>
      <w:r w:rsidR="00C077D9">
        <w:rPr>
          <w:rStyle w:val="normaltextrun"/>
          <w:rFonts w:ascii="Calibri" w:hAnsi="Calibri" w:cs="Calibri"/>
          <w:color w:val="auto"/>
        </w:rPr>
        <w:t xml:space="preserve">Vestlandet ønsket </w:t>
      </w:r>
      <w:r w:rsidR="00B157EC">
        <w:rPr>
          <w:rStyle w:val="normaltextrun"/>
          <w:rFonts w:ascii="Calibri" w:hAnsi="Calibri" w:cs="Calibri"/>
          <w:color w:val="auto"/>
        </w:rPr>
        <w:t>fem</w:t>
      </w:r>
      <w:r w:rsidRPr="00AC4258">
        <w:rPr>
          <w:rStyle w:val="normaltextrun"/>
          <w:rFonts w:ascii="Calibri" w:hAnsi="Calibri" w:cs="Calibri"/>
          <w:color w:val="auto"/>
        </w:rPr>
        <w:t xml:space="preserve"> </w:t>
      </w:r>
      <w:r w:rsidR="00C077D9">
        <w:rPr>
          <w:rStyle w:val="normaltextrun"/>
          <w:rFonts w:ascii="Calibri" w:hAnsi="Calibri" w:cs="Calibri"/>
          <w:color w:val="auto"/>
        </w:rPr>
        <w:t>prosent av medlemsbedriftene å ansette personer med doktorgrad</w:t>
      </w:r>
      <w:r w:rsidR="00CC4AE5">
        <w:rPr>
          <w:rStyle w:val="normaltextrun"/>
          <w:rFonts w:ascii="Calibri" w:hAnsi="Calibri" w:cs="Calibri"/>
          <w:color w:val="auto"/>
        </w:rPr>
        <w:t xml:space="preserve">, </w:t>
      </w:r>
      <w:r w:rsidR="00C077D9">
        <w:rPr>
          <w:rStyle w:val="normaltextrun"/>
          <w:rFonts w:ascii="Calibri" w:hAnsi="Calibri" w:cs="Calibri"/>
          <w:color w:val="auto"/>
        </w:rPr>
        <w:t xml:space="preserve">og blant bedriftene i </w:t>
      </w:r>
      <w:r w:rsidR="00D01A4A">
        <w:rPr>
          <w:rStyle w:val="normaltextrun"/>
          <w:rFonts w:ascii="Calibri" w:hAnsi="Calibri" w:cs="Calibri"/>
          <w:color w:val="auto"/>
        </w:rPr>
        <w:t xml:space="preserve">de nordligste fylkene </w:t>
      </w:r>
      <w:r w:rsidR="00C708F1">
        <w:rPr>
          <w:rStyle w:val="normaltextrun"/>
          <w:rFonts w:ascii="Calibri" w:hAnsi="Calibri" w:cs="Calibri"/>
          <w:color w:val="auto"/>
        </w:rPr>
        <w:t>(omfatter Nordland, Troms og Finnmark)</w:t>
      </w:r>
      <w:r w:rsidR="00C077D9">
        <w:rPr>
          <w:rStyle w:val="normaltextrun"/>
          <w:rFonts w:ascii="Calibri" w:hAnsi="Calibri" w:cs="Calibri"/>
          <w:color w:val="auto"/>
        </w:rPr>
        <w:t xml:space="preserve"> og Trøndelag var det en etterspørsel på </w:t>
      </w:r>
      <w:r w:rsidR="00B157EC">
        <w:rPr>
          <w:rStyle w:val="normaltextrun"/>
          <w:rFonts w:ascii="Calibri" w:hAnsi="Calibri" w:cs="Calibri"/>
          <w:color w:val="auto"/>
        </w:rPr>
        <w:t>seks</w:t>
      </w:r>
      <w:r w:rsidR="00C077D9">
        <w:rPr>
          <w:rStyle w:val="normaltextrun"/>
          <w:rFonts w:ascii="Calibri" w:hAnsi="Calibri" w:cs="Calibri"/>
          <w:color w:val="auto"/>
        </w:rPr>
        <w:t xml:space="preserve"> prosent</w:t>
      </w:r>
      <w:r w:rsidR="00CC4AE5">
        <w:rPr>
          <w:rStyle w:val="normaltextrun"/>
          <w:rFonts w:ascii="Calibri" w:hAnsi="Calibri" w:cs="Calibri"/>
          <w:color w:val="auto"/>
        </w:rPr>
        <w:t xml:space="preserve"> og i Møre og Romsdal </w:t>
      </w:r>
      <w:r w:rsidR="00B157EC">
        <w:rPr>
          <w:rStyle w:val="normaltextrun"/>
          <w:rFonts w:ascii="Calibri" w:hAnsi="Calibri" w:cs="Calibri"/>
          <w:color w:val="auto"/>
        </w:rPr>
        <w:t>sju</w:t>
      </w:r>
      <w:r w:rsidR="00CC4AE5">
        <w:rPr>
          <w:rStyle w:val="normaltextrun"/>
          <w:rFonts w:ascii="Calibri" w:hAnsi="Calibri" w:cs="Calibri"/>
          <w:color w:val="auto"/>
        </w:rPr>
        <w:t xml:space="preserve"> prosent. </w:t>
      </w:r>
      <w:r w:rsidR="00C077D9">
        <w:rPr>
          <w:rStyle w:val="normaltextrun"/>
          <w:rFonts w:ascii="Calibri" w:hAnsi="Calibri" w:cs="Calibri"/>
          <w:color w:val="auto"/>
        </w:rPr>
        <w:t xml:space="preserve">  </w:t>
      </w:r>
    </w:p>
    <w:p w14:paraId="1315BE84" w14:textId="19B51655" w:rsidR="006A6CA4" w:rsidRDefault="006A6CA4">
      <w:pPr>
        <w:spacing w:after="200" w:line="276" w:lineRule="auto"/>
        <w:rPr>
          <w:rFonts w:eastAsiaTheme="majorEastAsia" w:cstheme="majorBidi"/>
          <w:b/>
          <w:bCs/>
          <w:sz w:val="28"/>
        </w:rPr>
      </w:pPr>
    </w:p>
    <w:p w14:paraId="3F0A66BD" w14:textId="75116D95" w:rsidR="004F0F25" w:rsidRPr="00F101B8" w:rsidRDefault="00EE63C3" w:rsidP="002660C0">
      <w:pPr>
        <w:pStyle w:val="Overskrift2"/>
        <w:ind w:firstLine="708"/>
        <w:rPr>
          <w:color w:val="000000"/>
          <w:sz w:val="28"/>
          <w:szCs w:val="22"/>
        </w:rPr>
      </w:pPr>
      <w:bookmarkStart w:id="9" w:name="_Toc111796576"/>
      <w:r>
        <w:rPr>
          <w:sz w:val="28"/>
          <w:szCs w:val="22"/>
        </w:rPr>
        <w:t>4</w:t>
      </w:r>
      <w:r w:rsidR="002660C0">
        <w:rPr>
          <w:sz w:val="28"/>
          <w:szCs w:val="22"/>
        </w:rPr>
        <w:t xml:space="preserve">.3 </w:t>
      </w:r>
      <w:r w:rsidR="004F0F25" w:rsidRPr="002660C0">
        <w:rPr>
          <w:sz w:val="28"/>
          <w:szCs w:val="22"/>
        </w:rPr>
        <w:t>Kunnskapsflyt og sektorsam</w:t>
      </w:r>
      <w:r w:rsidR="009B1290" w:rsidRPr="002660C0">
        <w:rPr>
          <w:sz w:val="28"/>
          <w:szCs w:val="22"/>
        </w:rPr>
        <w:t>s</w:t>
      </w:r>
      <w:r w:rsidR="004F0F25" w:rsidRPr="002660C0">
        <w:rPr>
          <w:sz w:val="28"/>
          <w:szCs w:val="22"/>
        </w:rPr>
        <w:t>pill</w:t>
      </w:r>
      <w:bookmarkEnd w:id="9"/>
      <w:r w:rsidR="004F0F25" w:rsidRPr="00F101B8">
        <w:rPr>
          <w:sz w:val="28"/>
          <w:szCs w:val="22"/>
        </w:rPr>
        <w:t> </w:t>
      </w:r>
    </w:p>
    <w:p w14:paraId="0D142EF7" w14:textId="77777777" w:rsidR="004F0F25" w:rsidRPr="00F101B8" w:rsidRDefault="004F0F25" w:rsidP="004F0F25">
      <w:pPr>
        <w:spacing w:after="0" w:line="240" w:lineRule="auto"/>
        <w:jc w:val="both"/>
        <w:textAlignment w:val="baseline"/>
        <w:rPr>
          <w:rFonts w:ascii="Calibri" w:eastAsia="Times New Roman" w:hAnsi="Calibri" w:cs="Calibri"/>
          <w:color w:val="000000"/>
        </w:rPr>
      </w:pPr>
      <w:r w:rsidRPr="00F101B8">
        <w:rPr>
          <w:rFonts w:ascii="Calibri" w:eastAsia="Times New Roman" w:hAnsi="Calibri" w:cs="Calibri"/>
          <w:color w:val="000000"/>
        </w:rPr>
        <w:t> </w:t>
      </w:r>
    </w:p>
    <w:p w14:paraId="08CEDE14" w14:textId="77777777" w:rsidR="002660C0" w:rsidRDefault="004F0F25" w:rsidP="00F101B8">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For å øke overføring og deling av kunnskap og fremme innovasjon, skal Forskningsrådet stimulere mobilitet og styrke samspill mellom sektorer på alle nivåer. </w:t>
      </w:r>
    </w:p>
    <w:p w14:paraId="5A5A6616" w14:textId="1046D7BB" w:rsidR="004F0F25" w:rsidRPr="002A5E17" w:rsidRDefault="004F0F25" w:rsidP="004F0F25">
      <w:pPr>
        <w:spacing w:after="0" w:line="240" w:lineRule="auto"/>
        <w:jc w:val="both"/>
        <w:textAlignment w:val="baseline"/>
        <w:rPr>
          <w:rFonts w:ascii="Calibri" w:eastAsia="Times New Roman" w:hAnsi="Calibri" w:cs="Calibri"/>
          <w:color w:val="000000"/>
        </w:rPr>
      </w:pPr>
      <w:r w:rsidRPr="002A5E17">
        <w:rPr>
          <w:rFonts w:ascii="Calibri" w:eastAsia="Times New Roman" w:hAnsi="Calibri" w:cs="Calibri"/>
          <w:color w:val="000000"/>
        </w:rPr>
        <w:t> </w:t>
      </w:r>
    </w:p>
    <w:p w14:paraId="69F2996E" w14:textId="77777777" w:rsidR="00806F5A" w:rsidRDefault="00806F5A">
      <w:pPr>
        <w:spacing w:after="200" w:line="276" w:lineRule="auto"/>
        <w:rPr>
          <w:rFonts w:ascii="Calibri" w:eastAsia="Times New Roman" w:hAnsi="Calibri" w:cs="Calibri"/>
          <w:b/>
          <w:bCs/>
          <w:i/>
          <w:iCs/>
          <w:color w:val="000000"/>
        </w:rPr>
      </w:pPr>
      <w:r>
        <w:rPr>
          <w:rFonts w:ascii="Calibri" w:eastAsia="Times New Roman" w:hAnsi="Calibri" w:cs="Calibri"/>
          <w:b/>
          <w:bCs/>
          <w:i/>
          <w:iCs/>
          <w:color w:val="000000"/>
        </w:rPr>
        <w:br w:type="page"/>
      </w:r>
    </w:p>
    <w:p w14:paraId="590B4836" w14:textId="76DBD11F"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b/>
          <w:bCs/>
          <w:i/>
          <w:iCs/>
          <w:color w:val="000000"/>
        </w:rPr>
        <w:lastRenderedPageBreak/>
        <w:t>En femtedel av dokto</w:t>
      </w:r>
      <w:r w:rsidR="009330B8">
        <w:rPr>
          <w:rFonts w:ascii="Calibri" w:eastAsia="Times New Roman" w:hAnsi="Calibri" w:cs="Calibri"/>
          <w:b/>
          <w:bCs/>
          <w:i/>
          <w:iCs/>
          <w:color w:val="000000"/>
        </w:rPr>
        <w:t>r</w:t>
      </w:r>
      <w:r w:rsidRPr="004F0F25">
        <w:rPr>
          <w:rFonts w:ascii="Calibri" w:eastAsia="Times New Roman" w:hAnsi="Calibri" w:cs="Calibri"/>
          <w:b/>
          <w:bCs/>
          <w:i/>
          <w:iCs/>
          <w:color w:val="000000"/>
        </w:rPr>
        <w:t>gradsårsverkene ble finansiert til kunnskapsflyt og sektorsamspill</w:t>
      </w:r>
      <w:r w:rsidRPr="002A5E17">
        <w:rPr>
          <w:rFonts w:ascii="Calibri" w:eastAsia="Times New Roman" w:hAnsi="Calibri" w:cs="Calibri"/>
          <w:color w:val="000000"/>
        </w:rPr>
        <w:t> </w:t>
      </w:r>
    </w:p>
    <w:p w14:paraId="0BDD3437" w14:textId="77777777" w:rsidR="002660C0" w:rsidRDefault="002660C0" w:rsidP="004F0F25">
      <w:pPr>
        <w:spacing w:after="0" w:line="240" w:lineRule="auto"/>
        <w:jc w:val="both"/>
        <w:textAlignment w:val="baseline"/>
        <w:rPr>
          <w:rFonts w:ascii="Calibri" w:eastAsia="Times New Roman" w:hAnsi="Calibri" w:cs="Calibri"/>
          <w:color w:val="000000"/>
        </w:rPr>
      </w:pPr>
    </w:p>
    <w:p w14:paraId="562A5A6C" w14:textId="044D9C24" w:rsidR="004579EE" w:rsidRPr="00F07BC8" w:rsidRDefault="004F0F25" w:rsidP="004F0F25">
      <w:pPr>
        <w:spacing w:after="0" w:line="240" w:lineRule="auto"/>
        <w:jc w:val="both"/>
        <w:textAlignment w:val="baseline"/>
        <w:rPr>
          <w:rFonts w:ascii="Calibri" w:eastAsia="Times New Roman" w:hAnsi="Calibri" w:cs="Calibri"/>
          <w:color w:val="000000"/>
          <w:sz w:val="18"/>
          <w:szCs w:val="18"/>
        </w:rPr>
      </w:pPr>
      <w:r w:rsidRPr="002A5E17">
        <w:rPr>
          <w:rFonts w:ascii="Calibri" w:eastAsia="Times New Roman" w:hAnsi="Calibri" w:cs="Calibri"/>
          <w:color w:val="000000"/>
        </w:rPr>
        <w:t> </w:t>
      </w:r>
      <w:r w:rsidR="004579EE" w:rsidRPr="00F07BC8">
        <w:rPr>
          <w:rFonts w:ascii="Calibri" w:eastAsia="Times New Roman" w:hAnsi="Calibri" w:cs="Calibri"/>
          <w:color w:val="000000"/>
          <w:sz w:val="18"/>
          <w:szCs w:val="18"/>
        </w:rPr>
        <w:t xml:space="preserve">Figur </w:t>
      </w:r>
      <w:r w:rsidR="00806F5A">
        <w:rPr>
          <w:rFonts w:ascii="Calibri" w:eastAsia="Times New Roman" w:hAnsi="Calibri" w:cs="Calibri"/>
          <w:color w:val="000000"/>
          <w:sz w:val="18"/>
          <w:szCs w:val="18"/>
        </w:rPr>
        <w:t>4</w:t>
      </w:r>
      <w:r w:rsidR="00DA56EF">
        <w:rPr>
          <w:rFonts w:ascii="Calibri" w:eastAsia="Times New Roman" w:hAnsi="Calibri" w:cs="Calibri"/>
          <w:color w:val="000000"/>
          <w:sz w:val="18"/>
          <w:szCs w:val="18"/>
        </w:rPr>
        <w:t>.</w:t>
      </w:r>
      <w:r w:rsidR="00A47159">
        <w:rPr>
          <w:rFonts w:ascii="Calibri" w:eastAsia="Times New Roman" w:hAnsi="Calibri" w:cs="Calibri"/>
          <w:color w:val="000000"/>
          <w:sz w:val="18"/>
          <w:szCs w:val="18"/>
        </w:rPr>
        <w:t>9</w:t>
      </w:r>
      <w:r w:rsidR="00FE08AF">
        <w:rPr>
          <w:rFonts w:ascii="Calibri" w:eastAsia="Times New Roman" w:hAnsi="Calibri" w:cs="Calibri"/>
          <w:color w:val="000000"/>
          <w:sz w:val="18"/>
          <w:szCs w:val="18"/>
        </w:rPr>
        <w:t xml:space="preserve"> </w:t>
      </w:r>
      <w:r w:rsidR="00243EA1">
        <w:rPr>
          <w:rFonts w:ascii="Calibri" w:eastAsia="Times New Roman" w:hAnsi="Calibri" w:cs="Calibri"/>
          <w:color w:val="000000"/>
          <w:sz w:val="18"/>
          <w:szCs w:val="18"/>
        </w:rPr>
        <w:t xml:space="preserve">Doktorgradsårsverk fordelt på hovedaktiviteter </w:t>
      </w:r>
      <w:r w:rsidR="00243EA1" w:rsidRPr="00243EA1">
        <w:rPr>
          <w:rFonts w:ascii="Calibri" w:eastAsia="Times New Roman" w:hAnsi="Calibri" w:cs="Calibri"/>
          <w:color w:val="000000"/>
          <w:sz w:val="18"/>
          <w:szCs w:val="18"/>
        </w:rPr>
        <w:t>(</w:t>
      </w:r>
      <w:r w:rsidR="00FE08AF" w:rsidRPr="00243EA1">
        <w:rPr>
          <w:rFonts w:ascii="Calibri" w:eastAsia="Times New Roman" w:hAnsi="Calibri" w:cs="Calibri"/>
          <w:color w:val="000000"/>
          <w:sz w:val="18"/>
          <w:szCs w:val="18"/>
        </w:rPr>
        <w:t>2019-2021</w:t>
      </w:r>
      <w:r w:rsidR="00243EA1" w:rsidRPr="00243EA1">
        <w:rPr>
          <w:rFonts w:ascii="Calibri" w:eastAsia="Times New Roman" w:hAnsi="Calibri" w:cs="Calibri"/>
          <w:color w:val="000000"/>
          <w:sz w:val="18"/>
          <w:szCs w:val="18"/>
        </w:rPr>
        <w:t>)</w:t>
      </w:r>
      <w:r w:rsidR="003B1ADF">
        <w:rPr>
          <w:rFonts w:ascii="Calibri" w:eastAsia="Times New Roman" w:hAnsi="Calibri" w:cs="Calibri"/>
          <w:color w:val="000000"/>
          <w:sz w:val="18"/>
          <w:szCs w:val="18"/>
        </w:rPr>
        <w:t>.</w:t>
      </w:r>
    </w:p>
    <w:p w14:paraId="5445E95A" w14:textId="5B8F36E4" w:rsidR="004579EE" w:rsidRDefault="00157F45" w:rsidP="004F0F25">
      <w:pPr>
        <w:spacing w:after="0" w:line="240" w:lineRule="auto"/>
        <w:jc w:val="both"/>
        <w:textAlignment w:val="baseline"/>
        <w:rPr>
          <w:rFonts w:ascii="Calibri" w:eastAsia="Times New Roman" w:hAnsi="Calibri" w:cs="Calibri"/>
          <w:color w:val="000000"/>
        </w:rPr>
      </w:pPr>
      <w:r>
        <w:rPr>
          <w:noProof/>
        </w:rPr>
        <w:drawing>
          <wp:inline distT="0" distB="0" distL="0" distR="0" wp14:anchorId="2039BEC4" wp14:editId="2621BEC2">
            <wp:extent cx="5759450" cy="4638040"/>
            <wp:effectExtent l="0" t="0" r="12700" b="10160"/>
            <wp:docPr id="4" name="Diagram 4">
              <a:extLst xmlns:a="http://schemas.openxmlformats.org/drawingml/2006/main">
                <a:ext uri="{FF2B5EF4-FFF2-40B4-BE49-F238E27FC236}">
                  <a16:creationId xmlns:a16="http://schemas.microsoft.com/office/drawing/2014/main" id="{C3F9E5AB-4400-4914-8D52-602CF55D7D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1C79B3" w14:textId="0E603CC1" w:rsidR="00B948B8" w:rsidRDefault="00B948B8" w:rsidP="004F0F25">
      <w:pPr>
        <w:spacing w:after="0" w:line="240" w:lineRule="auto"/>
        <w:jc w:val="both"/>
        <w:textAlignment w:val="baseline"/>
        <w:rPr>
          <w:rFonts w:ascii="Calibri" w:eastAsia="Times New Roman" w:hAnsi="Calibri" w:cs="Calibri"/>
          <w:color w:val="000000" w:themeColor="accent6"/>
          <w:sz w:val="18"/>
          <w:szCs w:val="18"/>
        </w:rPr>
      </w:pPr>
      <w:r w:rsidRPr="00A47159">
        <w:rPr>
          <w:rFonts w:ascii="Calibri" w:eastAsia="Times New Roman" w:hAnsi="Calibri" w:cs="Calibri"/>
          <w:color w:val="000000" w:themeColor="accent6"/>
          <w:sz w:val="18"/>
          <w:szCs w:val="18"/>
        </w:rPr>
        <w:t>Kilde: Forskningsrådet.</w:t>
      </w:r>
    </w:p>
    <w:p w14:paraId="1D077EC6" w14:textId="77777777" w:rsidR="00B948B8" w:rsidRDefault="00B948B8" w:rsidP="004F0F25">
      <w:pPr>
        <w:spacing w:after="0" w:line="240" w:lineRule="auto"/>
        <w:jc w:val="both"/>
        <w:textAlignment w:val="baseline"/>
        <w:rPr>
          <w:rFonts w:ascii="Calibri" w:eastAsia="Times New Roman" w:hAnsi="Calibri" w:cs="Calibri"/>
          <w:color w:val="000000"/>
        </w:rPr>
      </w:pPr>
    </w:p>
    <w:p w14:paraId="1736EF7C" w14:textId="77CADCF5" w:rsidR="00A36420" w:rsidRDefault="00E51357" w:rsidP="00FE08AF">
      <w:pPr>
        <w:spacing w:after="0" w:line="240" w:lineRule="auto"/>
        <w:textAlignment w:val="baseline"/>
        <w:rPr>
          <w:rStyle w:val="normaltextrun"/>
          <w:rFonts w:ascii="Calibri" w:hAnsi="Calibri" w:cs="Calibri"/>
          <w:color w:val="auto"/>
          <w:shd w:val="clear" w:color="auto" w:fill="FFFFFF"/>
        </w:rPr>
      </w:pPr>
      <w:r w:rsidRPr="00A36420">
        <w:rPr>
          <w:rStyle w:val="normaltextrun"/>
          <w:rFonts w:ascii="Calibri" w:hAnsi="Calibri" w:cs="Calibri"/>
          <w:color w:val="auto"/>
          <w:shd w:val="clear" w:color="auto" w:fill="FFFFFF"/>
        </w:rPr>
        <w:t xml:space="preserve">Forskningsrådets rekrutteringsinnsats rettet mot næringslivet omfatter flere ulike virkemidler, hvorav </w:t>
      </w:r>
      <w:r w:rsidR="006F5B52">
        <w:rPr>
          <w:rStyle w:val="normaltextrun"/>
          <w:rFonts w:ascii="Calibri" w:hAnsi="Calibri" w:cs="Calibri"/>
          <w:i/>
          <w:iCs/>
          <w:color w:val="auto"/>
          <w:shd w:val="clear" w:color="auto" w:fill="FFFFFF"/>
        </w:rPr>
        <w:t>n</w:t>
      </w:r>
      <w:r w:rsidRPr="006F5B52">
        <w:rPr>
          <w:rStyle w:val="normaltextrun"/>
          <w:rFonts w:ascii="Calibri" w:hAnsi="Calibri" w:cs="Calibri"/>
          <w:i/>
          <w:iCs/>
          <w:color w:val="auto"/>
          <w:shd w:val="clear" w:color="auto" w:fill="FFFFFF"/>
        </w:rPr>
        <w:t>ærings-ph.d.</w:t>
      </w:r>
      <w:r w:rsidRPr="00A36420">
        <w:rPr>
          <w:rStyle w:val="normaltextrun"/>
          <w:rFonts w:ascii="Calibri" w:hAnsi="Calibri" w:cs="Calibri"/>
          <w:color w:val="auto"/>
          <w:shd w:val="clear" w:color="auto" w:fill="FFFFFF"/>
        </w:rPr>
        <w:t xml:space="preserve"> er</w:t>
      </w:r>
      <w:r w:rsidR="00200A83" w:rsidRPr="00A36420">
        <w:rPr>
          <w:rStyle w:val="normaltextrun"/>
          <w:rFonts w:ascii="Calibri" w:hAnsi="Calibri" w:cs="Calibri"/>
          <w:color w:val="auto"/>
          <w:shd w:val="clear" w:color="auto" w:fill="FFFFFF"/>
        </w:rPr>
        <w:t xml:space="preserve"> </w:t>
      </w:r>
      <w:r w:rsidRPr="00A36420">
        <w:rPr>
          <w:rStyle w:val="normaltextrun"/>
          <w:rFonts w:ascii="Calibri" w:hAnsi="Calibri" w:cs="Calibri"/>
          <w:color w:val="auto"/>
          <w:shd w:val="clear" w:color="auto" w:fill="FFFFFF"/>
        </w:rPr>
        <w:t>ett. Ordningen er et virkemiddel for kompetansebygging og økt forskningsinnsats for bedrifter.</w:t>
      </w:r>
      <w:r w:rsidR="00200A83" w:rsidRPr="00A36420">
        <w:rPr>
          <w:rStyle w:val="normaltextrun"/>
          <w:rFonts w:ascii="Calibri" w:hAnsi="Calibri" w:cs="Calibri"/>
          <w:color w:val="auto"/>
          <w:shd w:val="clear" w:color="auto" w:fill="FFFFFF"/>
        </w:rPr>
        <w:t xml:space="preserve"> </w:t>
      </w:r>
      <w:r w:rsidRPr="00A36420">
        <w:rPr>
          <w:rStyle w:val="normaltextrun"/>
          <w:rFonts w:ascii="Calibri" w:hAnsi="Calibri" w:cs="Calibri"/>
          <w:color w:val="auto"/>
          <w:shd w:val="clear" w:color="auto" w:fill="FFFFFF"/>
        </w:rPr>
        <w:t>Kandidatene har en litt høyere gjennomføringsprosent og noe kortere gjennomføringstid enn andre doktorkandidater.</w:t>
      </w:r>
      <w:r w:rsidR="00200A83" w:rsidRPr="00A36420">
        <w:rPr>
          <w:rStyle w:val="normaltextrun"/>
          <w:rFonts w:ascii="Calibri" w:hAnsi="Calibri" w:cs="Calibri"/>
          <w:color w:val="auto"/>
          <w:shd w:val="clear" w:color="auto" w:fill="FFFFFF"/>
        </w:rPr>
        <w:t xml:space="preserve"> </w:t>
      </w:r>
    </w:p>
    <w:p w14:paraId="338C17CF" w14:textId="77777777" w:rsidR="00A36420" w:rsidRDefault="00A36420" w:rsidP="00FE08AF">
      <w:pPr>
        <w:spacing w:after="0" w:line="240" w:lineRule="auto"/>
        <w:textAlignment w:val="baseline"/>
        <w:rPr>
          <w:rStyle w:val="normaltextrun"/>
          <w:rFonts w:ascii="Calibri" w:hAnsi="Calibri" w:cs="Calibri"/>
          <w:color w:val="auto"/>
          <w:shd w:val="clear" w:color="auto" w:fill="FFFFFF"/>
        </w:rPr>
      </w:pPr>
    </w:p>
    <w:p w14:paraId="0987DDEB" w14:textId="6856DC92" w:rsidR="004F0F25" w:rsidRDefault="00200A83" w:rsidP="00FE08AF">
      <w:pPr>
        <w:spacing w:after="0" w:line="240" w:lineRule="auto"/>
        <w:textAlignment w:val="baseline"/>
        <w:rPr>
          <w:rFonts w:ascii="Calibri" w:eastAsia="Times New Roman" w:hAnsi="Calibri" w:cs="Calibri"/>
          <w:color w:val="000000"/>
        </w:rPr>
      </w:pPr>
      <w:r w:rsidRPr="00A36420">
        <w:rPr>
          <w:rStyle w:val="normaltextrun"/>
          <w:rFonts w:ascii="Calibri" w:hAnsi="Calibri" w:cs="Calibri"/>
          <w:color w:val="auto"/>
          <w:shd w:val="clear" w:color="auto" w:fill="FFFFFF"/>
        </w:rPr>
        <w:t>Sammen med virkemid</w:t>
      </w:r>
      <w:r w:rsidR="00D432D1">
        <w:rPr>
          <w:rStyle w:val="normaltextrun"/>
          <w:rFonts w:ascii="Calibri" w:hAnsi="Calibri" w:cs="Calibri"/>
          <w:color w:val="auto"/>
          <w:shd w:val="clear" w:color="auto" w:fill="FFFFFF"/>
        </w:rPr>
        <w:t>de</w:t>
      </w:r>
      <w:r w:rsidRPr="00A36420">
        <w:rPr>
          <w:rStyle w:val="normaltextrun"/>
          <w:rFonts w:ascii="Calibri" w:hAnsi="Calibri" w:cs="Calibri"/>
          <w:color w:val="auto"/>
          <w:shd w:val="clear" w:color="auto" w:fill="FFFFFF"/>
        </w:rPr>
        <w:t xml:space="preserve">let </w:t>
      </w:r>
      <w:r w:rsidRPr="006F5B52">
        <w:rPr>
          <w:rStyle w:val="normaltextrun"/>
          <w:rFonts w:ascii="Calibri" w:hAnsi="Calibri" w:cs="Calibri"/>
          <w:i/>
          <w:iCs/>
          <w:color w:val="auto"/>
          <w:shd w:val="clear" w:color="auto" w:fill="FFFFFF"/>
        </w:rPr>
        <w:t xml:space="preserve">Offentlig sektor- </w:t>
      </w:r>
      <w:r w:rsidR="00726908" w:rsidRPr="006F5B52">
        <w:rPr>
          <w:rStyle w:val="normaltextrun"/>
          <w:rFonts w:ascii="Calibri" w:hAnsi="Calibri" w:cs="Calibri"/>
          <w:i/>
          <w:iCs/>
          <w:color w:val="auto"/>
          <w:shd w:val="clear" w:color="auto" w:fill="FFFFFF"/>
        </w:rPr>
        <w:t>ph.d.</w:t>
      </w:r>
      <w:r w:rsidR="00E51357" w:rsidRPr="00A36420">
        <w:rPr>
          <w:rStyle w:val="normaltextrun"/>
          <w:rFonts w:ascii="Calibri" w:hAnsi="Calibri" w:cs="Calibri"/>
          <w:color w:val="auto"/>
          <w:shd w:val="clear" w:color="auto" w:fill="FFFFFF"/>
        </w:rPr>
        <w:t xml:space="preserve"> </w:t>
      </w:r>
      <w:r w:rsidRPr="00A36420">
        <w:rPr>
          <w:rStyle w:val="normaltextrun"/>
          <w:rFonts w:ascii="Calibri" w:hAnsi="Calibri" w:cs="Calibri"/>
          <w:color w:val="auto"/>
          <w:shd w:val="clear" w:color="auto" w:fill="FFFFFF"/>
        </w:rPr>
        <w:t xml:space="preserve">skal </w:t>
      </w:r>
      <w:r w:rsidR="00D432D1" w:rsidRPr="006F5B52">
        <w:rPr>
          <w:rStyle w:val="normaltextrun"/>
          <w:rFonts w:ascii="Calibri" w:hAnsi="Calibri" w:cs="Calibri"/>
          <w:i/>
          <w:iCs/>
          <w:color w:val="auto"/>
          <w:shd w:val="clear" w:color="auto" w:fill="FFFFFF"/>
        </w:rPr>
        <w:t>N</w:t>
      </w:r>
      <w:r w:rsidRPr="006F5B52">
        <w:rPr>
          <w:rStyle w:val="normaltextrun"/>
          <w:rFonts w:ascii="Calibri" w:hAnsi="Calibri" w:cs="Calibri"/>
          <w:i/>
          <w:iCs/>
          <w:color w:val="auto"/>
          <w:shd w:val="clear" w:color="auto" w:fill="FFFFFF"/>
        </w:rPr>
        <w:t>ærings-ph.d.</w:t>
      </w:r>
      <w:r w:rsidR="000E37B4">
        <w:rPr>
          <w:rStyle w:val="normaltextrun"/>
          <w:rFonts w:ascii="Calibri" w:hAnsi="Calibri" w:cs="Calibri"/>
          <w:color w:val="auto"/>
          <w:shd w:val="clear" w:color="auto" w:fill="FFFFFF"/>
        </w:rPr>
        <w:t xml:space="preserve"> </w:t>
      </w:r>
      <w:r w:rsidR="00545637">
        <w:rPr>
          <w:rFonts w:ascii="Calibri" w:eastAsia="Times New Roman" w:hAnsi="Calibri" w:cs="Calibri"/>
          <w:color w:val="000000"/>
        </w:rPr>
        <w:t xml:space="preserve">bidra til å </w:t>
      </w:r>
      <w:r w:rsidR="004F0F25" w:rsidRPr="004F0F25">
        <w:rPr>
          <w:rFonts w:ascii="Calibri" w:eastAsia="Times New Roman" w:hAnsi="Calibri" w:cs="Calibri"/>
          <w:color w:val="000000"/>
        </w:rPr>
        <w:t xml:space="preserve">styrke </w:t>
      </w:r>
      <w:r w:rsidR="00231DD4">
        <w:rPr>
          <w:rFonts w:ascii="Calibri" w:eastAsia="Times New Roman" w:hAnsi="Calibri" w:cs="Calibri"/>
          <w:color w:val="000000"/>
        </w:rPr>
        <w:t>forsknings</w:t>
      </w:r>
      <w:r w:rsidR="00543EBF">
        <w:rPr>
          <w:rFonts w:ascii="Calibri" w:eastAsia="Times New Roman" w:hAnsi="Calibri" w:cs="Calibri"/>
          <w:color w:val="000000"/>
        </w:rPr>
        <w:t xml:space="preserve">- og </w:t>
      </w:r>
      <w:r w:rsidR="004F0F25" w:rsidRPr="004F0F25">
        <w:rPr>
          <w:rFonts w:ascii="Calibri" w:eastAsia="Times New Roman" w:hAnsi="Calibri" w:cs="Calibri"/>
          <w:color w:val="000000"/>
        </w:rPr>
        <w:t xml:space="preserve">innovasjonsevnen i næringslivet og i offentlig sektor og stimulere til økt samspill mellom akademia og arbeidslivet utenfor. Forskningsrådet delfinansierer doktorgradsstipend som tildeles bedrift eller offentlig institusjon i samarbeid med gradsgivende institusjon. Det har vært en stor økning i Forskningsrådets finansiering </w:t>
      </w:r>
      <w:r w:rsidR="009B1290">
        <w:rPr>
          <w:rFonts w:ascii="Calibri" w:eastAsia="Times New Roman" w:hAnsi="Calibri" w:cs="Calibri"/>
          <w:color w:val="000000"/>
        </w:rPr>
        <w:t xml:space="preserve">til </w:t>
      </w:r>
      <w:r w:rsidR="00A0385A">
        <w:rPr>
          <w:rFonts w:ascii="Calibri" w:eastAsia="Times New Roman" w:hAnsi="Calibri" w:cs="Calibri"/>
          <w:color w:val="000000"/>
        </w:rPr>
        <w:t>N</w:t>
      </w:r>
      <w:r w:rsidR="004F0F25" w:rsidRPr="004F0F25">
        <w:rPr>
          <w:rFonts w:ascii="Calibri" w:eastAsia="Times New Roman" w:hAnsi="Calibri" w:cs="Calibri"/>
          <w:color w:val="000000"/>
        </w:rPr>
        <w:t>ærings- ph.d</w:t>
      </w:r>
      <w:r w:rsidR="00F12F75">
        <w:rPr>
          <w:rFonts w:ascii="Calibri" w:eastAsia="Times New Roman" w:hAnsi="Calibri" w:cs="Calibri"/>
          <w:color w:val="000000"/>
        </w:rPr>
        <w:t>.</w:t>
      </w:r>
      <w:r w:rsidR="004F0F25" w:rsidRPr="004F0F25">
        <w:rPr>
          <w:rFonts w:ascii="Calibri" w:eastAsia="Times New Roman" w:hAnsi="Calibri" w:cs="Calibri"/>
          <w:color w:val="000000"/>
        </w:rPr>
        <w:t xml:space="preserve"> og </w:t>
      </w:r>
      <w:r w:rsidR="00A0385A">
        <w:rPr>
          <w:rFonts w:ascii="Calibri" w:eastAsia="Times New Roman" w:hAnsi="Calibri" w:cs="Calibri"/>
          <w:color w:val="000000"/>
        </w:rPr>
        <w:t>O</w:t>
      </w:r>
      <w:r w:rsidR="004F0F25" w:rsidRPr="004F0F25">
        <w:rPr>
          <w:rFonts w:ascii="Calibri" w:eastAsia="Times New Roman" w:hAnsi="Calibri" w:cs="Calibri"/>
          <w:color w:val="000000"/>
        </w:rPr>
        <w:t>ffentlig sektor- ph.d. siden ordningene ble etablert</w:t>
      </w:r>
      <w:r w:rsidR="0059259D">
        <w:rPr>
          <w:rFonts w:ascii="Calibri" w:eastAsia="Times New Roman" w:hAnsi="Calibri" w:cs="Calibri"/>
          <w:color w:val="000000"/>
        </w:rPr>
        <w:t xml:space="preserve">. </w:t>
      </w:r>
      <w:r w:rsidR="004F0F25" w:rsidRPr="004F0F25">
        <w:rPr>
          <w:rFonts w:ascii="Calibri" w:eastAsia="Times New Roman" w:hAnsi="Calibri" w:cs="Calibri"/>
          <w:color w:val="000000"/>
        </w:rPr>
        <w:t>I perioden 201</w:t>
      </w:r>
      <w:r w:rsidR="008229AC">
        <w:rPr>
          <w:rFonts w:ascii="Calibri" w:eastAsia="Times New Roman" w:hAnsi="Calibri" w:cs="Calibri"/>
          <w:color w:val="000000"/>
        </w:rPr>
        <w:t>9</w:t>
      </w:r>
      <w:r w:rsidR="004F0F25" w:rsidRPr="004F0F25">
        <w:rPr>
          <w:rFonts w:ascii="Calibri" w:eastAsia="Times New Roman" w:hAnsi="Calibri" w:cs="Calibri"/>
          <w:color w:val="000000"/>
        </w:rPr>
        <w:t>-202</w:t>
      </w:r>
      <w:r w:rsidR="008229AC">
        <w:rPr>
          <w:rFonts w:ascii="Calibri" w:eastAsia="Times New Roman" w:hAnsi="Calibri" w:cs="Calibri"/>
          <w:color w:val="000000"/>
        </w:rPr>
        <w:t>1</w:t>
      </w:r>
      <w:r w:rsidR="004F0F25" w:rsidRPr="004F0F25">
        <w:rPr>
          <w:rFonts w:ascii="Calibri" w:eastAsia="Times New Roman" w:hAnsi="Calibri" w:cs="Calibri"/>
          <w:color w:val="000000"/>
        </w:rPr>
        <w:t xml:space="preserve"> finansierte </w:t>
      </w:r>
      <w:r w:rsidR="009B1290">
        <w:rPr>
          <w:rFonts w:ascii="Calibri" w:eastAsia="Times New Roman" w:hAnsi="Calibri" w:cs="Calibri"/>
          <w:color w:val="000000"/>
        </w:rPr>
        <w:t xml:space="preserve">Forskningsrådet </w:t>
      </w:r>
      <w:r w:rsidR="008229AC">
        <w:rPr>
          <w:rFonts w:ascii="Calibri" w:eastAsia="Times New Roman" w:hAnsi="Calibri" w:cs="Calibri"/>
          <w:color w:val="000000"/>
        </w:rPr>
        <w:t xml:space="preserve">om lag </w:t>
      </w:r>
      <w:r w:rsidR="008C1F62">
        <w:rPr>
          <w:rFonts w:ascii="Calibri" w:eastAsia="Times New Roman" w:hAnsi="Calibri" w:cs="Calibri"/>
          <w:color w:val="000000"/>
        </w:rPr>
        <w:t xml:space="preserve">260 </w:t>
      </w:r>
      <w:r w:rsidR="006F5B52">
        <w:rPr>
          <w:rFonts w:ascii="Calibri" w:eastAsia="Times New Roman" w:hAnsi="Calibri" w:cs="Calibri"/>
          <w:color w:val="000000"/>
        </w:rPr>
        <w:t>o</w:t>
      </w:r>
      <w:r w:rsidR="009B1290" w:rsidRPr="004F0F25">
        <w:rPr>
          <w:rFonts w:ascii="Calibri" w:eastAsia="Times New Roman" w:hAnsi="Calibri" w:cs="Calibri"/>
          <w:color w:val="000000"/>
        </w:rPr>
        <w:t>ffentlig</w:t>
      </w:r>
      <w:r w:rsidR="009B1290">
        <w:rPr>
          <w:rFonts w:ascii="Calibri" w:eastAsia="Times New Roman" w:hAnsi="Calibri" w:cs="Calibri"/>
          <w:color w:val="000000"/>
        </w:rPr>
        <w:t xml:space="preserve"> </w:t>
      </w:r>
      <w:r w:rsidR="009B1290" w:rsidRPr="004F0F25">
        <w:rPr>
          <w:rFonts w:ascii="Calibri" w:eastAsia="Times New Roman" w:hAnsi="Calibri" w:cs="Calibri"/>
          <w:color w:val="000000"/>
        </w:rPr>
        <w:t>sektor</w:t>
      </w:r>
      <w:r w:rsidR="009B1290">
        <w:rPr>
          <w:rFonts w:ascii="Calibri" w:eastAsia="Times New Roman" w:hAnsi="Calibri" w:cs="Calibri"/>
          <w:color w:val="000000"/>
        </w:rPr>
        <w:t>-</w:t>
      </w:r>
      <w:r w:rsidR="009B1290" w:rsidRPr="004F0F25">
        <w:rPr>
          <w:rFonts w:ascii="Calibri" w:eastAsia="Times New Roman" w:hAnsi="Calibri" w:cs="Calibri"/>
          <w:color w:val="000000"/>
        </w:rPr>
        <w:t xml:space="preserve">ph.d. </w:t>
      </w:r>
      <w:r w:rsidR="004F0F25" w:rsidRPr="004F0F25">
        <w:rPr>
          <w:rFonts w:ascii="Calibri" w:eastAsia="Times New Roman" w:hAnsi="Calibri" w:cs="Calibri"/>
          <w:color w:val="000000"/>
        </w:rPr>
        <w:t xml:space="preserve">og </w:t>
      </w:r>
      <w:r w:rsidR="008C1F62">
        <w:rPr>
          <w:rFonts w:ascii="Calibri" w:eastAsia="Times New Roman" w:hAnsi="Calibri" w:cs="Calibri"/>
          <w:color w:val="000000"/>
        </w:rPr>
        <w:t xml:space="preserve">om lag </w:t>
      </w:r>
      <w:r w:rsidR="004F0F25" w:rsidRPr="004F0F25">
        <w:rPr>
          <w:rFonts w:ascii="Calibri" w:eastAsia="Times New Roman" w:hAnsi="Calibri" w:cs="Calibri"/>
          <w:color w:val="000000"/>
        </w:rPr>
        <w:t>4</w:t>
      </w:r>
      <w:r w:rsidR="008C1F62">
        <w:rPr>
          <w:rFonts w:ascii="Calibri" w:eastAsia="Times New Roman" w:hAnsi="Calibri" w:cs="Calibri"/>
          <w:color w:val="000000"/>
        </w:rPr>
        <w:t>50</w:t>
      </w:r>
      <w:r w:rsidR="004F0F25" w:rsidRPr="004F0F25">
        <w:rPr>
          <w:rFonts w:ascii="Calibri" w:eastAsia="Times New Roman" w:hAnsi="Calibri" w:cs="Calibri"/>
          <w:color w:val="000000"/>
        </w:rPr>
        <w:t xml:space="preserve"> </w:t>
      </w:r>
      <w:r w:rsidR="006F5B52">
        <w:rPr>
          <w:rFonts w:ascii="Calibri" w:eastAsia="Times New Roman" w:hAnsi="Calibri" w:cs="Calibri"/>
          <w:color w:val="000000"/>
        </w:rPr>
        <w:t>n</w:t>
      </w:r>
      <w:r w:rsidR="009B1290" w:rsidRPr="004F0F25">
        <w:rPr>
          <w:rFonts w:ascii="Calibri" w:eastAsia="Times New Roman" w:hAnsi="Calibri" w:cs="Calibri"/>
          <w:color w:val="000000"/>
        </w:rPr>
        <w:t>æring</w:t>
      </w:r>
      <w:r w:rsidR="009B1290">
        <w:rPr>
          <w:rFonts w:ascii="Calibri" w:eastAsia="Times New Roman" w:hAnsi="Calibri" w:cs="Calibri"/>
          <w:color w:val="000000"/>
        </w:rPr>
        <w:t>s-</w:t>
      </w:r>
      <w:r w:rsidR="009B1290" w:rsidRPr="004F0F25">
        <w:rPr>
          <w:rFonts w:ascii="Calibri" w:eastAsia="Times New Roman" w:hAnsi="Calibri" w:cs="Calibri"/>
          <w:color w:val="000000"/>
        </w:rPr>
        <w:t>ph.d.</w:t>
      </w:r>
      <w:r w:rsidR="009B1290">
        <w:rPr>
          <w:rFonts w:ascii="Calibri" w:eastAsia="Times New Roman" w:hAnsi="Calibri" w:cs="Calibri"/>
          <w:color w:val="000000"/>
        </w:rPr>
        <w:t>- årsverk</w:t>
      </w:r>
      <w:r w:rsidR="004F0F25" w:rsidRPr="004F0F25">
        <w:rPr>
          <w:rFonts w:ascii="Calibri" w:eastAsia="Times New Roman" w:hAnsi="Calibri" w:cs="Calibri"/>
          <w:color w:val="000000"/>
        </w:rPr>
        <w:t xml:space="preserve">. </w:t>
      </w:r>
      <w:r w:rsidR="008C1F62">
        <w:rPr>
          <w:rFonts w:ascii="Calibri" w:eastAsia="Times New Roman" w:hAnsi="Calibri" w:cs="Calibri"/>
          <w:color w:val="000000"/>
        </w:rPr>
        <w:t xml:space="preserve">En </w:t>
      </w:r>
      <w:r w:rsidR="00AF525F">
        <w:rPr>
          <w:rFonts w:ascii="Calibri" w:eastAsia="Times New Roman" w:hAnsi="Calibri" w:cs="Calibri"/>
          <w:color w:val="000000"/>
        </w:rPr>
        <w:t xml:space="preserve">av sju doktorgradsårsverk i perioden ble finansiert over </w:t>
      </w:r>
      <w:r w:rsidR="00E32AC7">
        <w:rPr>
          <w:rFonts w:ascii="Calibri" w:eastAsia="Times New Roman" w:hAnsi="Calibri" w:cs="Calibri"/>
          <w:color w:val="000000"/>
        </w:rPr>
        <w:t>Nærings-ph.d.</w:t>
      </w:r>
      <w:r w:rsidR="00AF525F">
        <w:rPr>
          <w:rFonts w:ascii="Calibri" w:eastAsia="Times New Roman" w:hAnsi="Calibri" w:cs="Calibri"/>
          <w:color w:val="000000"/>
        </w:rPr>
        <w:t xml:space="preserve"> og offentlig sektor-ph.d. ordningene. </w:t>
      </w:r>
      <w:r w:rsidR="004F0F25" w:rsidRPr="004F0F25">
        <w:rPr>
          <w:rFonts w:ascii="Calibri" w:eastAsia="Times New Roman" w:hAnsi="Calibri" w:cs="Calibri"/>
          <w:color w:val="000000"/>
        </w:rPr>
        <w:t> </w:t>
      </w:r>
      <w:r w:rsidR="004F0F25" w:rsidRPr="002A5E17">
        <w:rPr>
          <w:rFonts w:ascii="Calibri" w:eastAsia="Times New Roman" w:hAnsi="Calibri" w:cs="Calibri"/>
          <w:color w:val="000000"/>
        </w:rPr>
        <w:t> </w:t>
      </w:r>
    </w:p>
    <w:p w14:paraId="753C8B09" w14:textId="77777777" w:rsidR="00F07BC8" w:rsidRPr="002A5E17" w:rsidRDefault="00F07BC8" w:rsidP="00FE08AF">
      <w:pPr>
        <w:spacing w:after="0" w:line="240" w:lineRule="auto"/>
        <w:textAlignment w:val="baseline"/>
        <w:rPr>
          <w:rFonts w:ascii="Calibri" w:eastAsia="Times New Roman" w:hAnsi="Calibri" w:cs="Calibri"/>
          <w:color w:val="000000"/>
        </w:rPr>
      </w:pPr>
    </w:p>
    <w:p w14:paraId="3C5926F6" w14:textId="56674690" w:rsidR="004F0F25" w:rsidRPr="002A5E17" w:rsidRDefault="004F0F25" w:rsidP="00FE08AF">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Senterordningene er den største hovedaktiviteten i Forskningsrådets rekrutteringsportefølje, og sentrene for forskningsdrevet innovasjon (SFI) finansierte aller flest doktorgradsårsverk (i 201</w:t>
      </w:r>
      <w:r w:rsidR="00422F63">
        <w:rPr>
          <w:rFonts w:ascii="Calibri" w:eastAsia="Times New Roman" w:hAnsi="Calibri" w:cs="Calibri"/>
          <w:color w:val="000000"/>
        </w:rPr>
        <w:t>9</w:t>
      </w:r>
      <w:r w:rsidRPr="004F0F25">
        <w:rPr>
          <w:rFonts w:ascii="Calibri" w:eastAsia="Times New Roman" w:hAnsi="Calibri" w:cs="Calibri"/>
          <w:color w:val="000000"/>
        </w:rPr>
        <w:t>-202</w:t>
      </w:r>
      <w:r w:rsidR="00422F63">
        <w:rPr>
          <w:rFonts w:ascii="Calibri" w:eastAsia="Times New Roman" w:hAnsi="Calibri" w:cs="Calibri"/>
          <w:color w:val="000000"/>
        </w:rPr>
        <w:t>1</w:t>
      </w:r>
      <w:r w:rsidRPr="004F0F25">
        <w:rPr>
          <w:rFonts w:ascii="Calibri" w:eastAsia="Times New Roman" w:hAnsi="Calibri" w:cs="Calibri"/>
          <w:color w:val="000000"/>
        </w:rPr>
        <w:t xml:space="preserve">). SFI, </w:t>
      </w:r>
      <w:r w:rsidR="00F07BC8">
        <w:rPr>
          <w:rFonts w:ascii="Calibri" w:eastAsia="Times New Roman" w:hAnsi="Calibri" w:cs="Calibri"/>
          <w:color w:val="000000"/>
        </w:rPr>
        <w:t>N</w:t>
      </w:r>
      <w:r w:rsidRPr="004F0F25">
        <w:rPr>
          <w:rFonts w:ascii="Calibri" w:eastAsia="Times New Roman" w:hAnsi="Calibri" w:cs="Calibri"/>
          <w:color w:val="000000"/>
        </w:rPr>
        <w:t>ærings</w:t>
      </w:r>
      <w:r w:rsidR="00F07BC8">
        <w:rPr>
          <w:rFonts w:ascii="Calibri" w:eastAsia="Times New Roman" w:hAnsi="Calibri" w:cs="Calibri"/>
          <w:color w:val="000000"/>
        </w:rPr>
        <w:t>-</w:t>
      </w:r>
      <w:r w:rsidR="00E32AC7">
        <w:rPr>
          <w:rFonts w:ascii="Calibri" w:eastAsia="Times New Roman" w:hAnsi="Calibri" w:cs="Calibri"/>
          <w:color w:val="000000"/>
        </w:rPr>
        <w:t xml:space="preserve"> </w:t>
      </w:r>
      <w:r w:rsidRPr="004F0F25">
        <w:rPr>
          <w:rFonts w:ascii="Calibri" w:eastAsia="Times New Roman" w:hAnsi="Calibri" w:cs="Calibri"/>
          <w:color w:val="000000"/>
        </w:rPr>
        <w:t xml:space="preserve">ph.d. og </w:t>
      </w:r>
      <w:r w:rsidR="00F07BC8">
        <w:rPr>
          <w:rFonts w:ascii="Calibri" w:eastAsia="Times New Roman" w:hAnsi="Calibri" w:cs="Calibri"/>
          <w:color w:val="000000"/>
        </w:rPr>
        <w:t>O</w:t>
      </w:r>
      <w:r w:rsidRPr="004F0F25">
        <w:rPr>
          <w:rFonts w:ascii="Calibri" w:eastAsia="Times New Roman" w:hAnsi="Calibri" w:cs="Calibri"/>
          <w:color w:val="000000"/>
        </w:rPr>
        <w:t>ffentlig</w:t>
      </w:r>
      <w:r w:rsidR="00200A83">
        <w:rPr>
          <w:rFonts w:ascii="Calibri" w:eastAsia="Times New Roman" w:hAnsi="Calibri" w:cs="Calibri"/>
          <w:color w:val="000000"/>
        </w:rPr>
        <w:t xml:space="preserve"> </w:t>
      </w:r>
      <w:r w:rsidRPr="004F0F25">
        <w:rPr>
          <w:rFonts w:ascii="Calibri" w:eastAsia="Times New Roman" w:hAnsi="Calibri" w:cs="Calibri"/>
          <w:color w:val="000000"/>
        </w:rPr>
        <w:t>sektor</w:t>
      </w:r>
      <w:r w:rsidR="00200A83">
        <w:rPr>
          <w:rFonts w:ascii="Calibri" w:eastAsia="Times New Roman" w:hAnsi="Calibri" w:cs="Calibri"/>
          <w:color w:val="000000"/>
        </w:rPr>
        <w:t>-</w:t>
      </w:r>
      <w:r w:rsidRPr="004F0F25">
        <w:rPr>
          <w:rFonts w:ascii="Calibri" w:eastAsia="Times New Roman" w:hAnsi="Calibri" w:cs="Calibri"/>
          <w:color w:val="000000"/>
        </w:rPr>
        <w:t xml:space="preserve"> ph.d.</w:t>
      </w:r>
      <w:r w:rsidR="00F07BC8">
        <w:rPr>
          <w:rFonts w:ascii="Calibri" w:eastAsia="Times New Roman" w:hAnsi="Calibri" w:cs="Calibri"/>
          <w:color w:val="000000"/>
        </w:rPr>
        <w:t xml:space="preserve">, </w:t>
      </w:r>
      <w:r w:rsidRPr="004F0F25">
        <w:rPr>
          <w:rFonts w:ascii="Calibri" w:eastAsia="Times New Roman" w:hAnsi="Calibri" w:cs="Calibri"/>
          <w:color w:val="000000"/>
        </w:rPr>
        <w:t>er alle virkemidler som skal bidra til kunnskapsflyt, innovasjon og sektorsamspill</w:t>
      </w:r>
      <w:r w:rsidR="00031833">
        <w:rPr>
          <w:rFonts w:ascii="Calibri" w:eastAsia="Times New Roman" w:hAnsi="Calibri" w:cs="Calibri"/>
          <w:color w:val="000000"/>
        </w:rPr>
        <w:t xml:space="preserve"> og</w:t>
      </w:r>
      <w:r w:rsidRPr="004F0F25">
        <w:rPr>
          <w:rFonts w:ascii="Calibri" w:eastAsia="Times New Roman" w:hAnsi="Calibri" w:cs="Calibri"/>
          <w:color w:val="000000"/>
        </w:rPr>
        <w:t xml:space="preserve"> finansierte </w:t>
      </w:r>
      <w:r w:rsidR="00031833">
        <w:rPr>
          <w:rFonts w:ascii="Calibri" w:eastAsia="Times New Roman" w:hAnsi="Calibri" w:cs="Calibri"/>
          <w:color w:val="000000"/>
        </w:rPr>
        <w:t>til sammen</w:t>
      </w:r>
      <w:r w:rsidRPr="004F0F25">
        <w:rPr>
          <w:rFonts w:ascii="Calibri" w:eastAsia="Times New Roman" w:hAnsi="Calibri" w:cs="Calibri"/>
          <w:color w:val="000000"/>
        </w:rPr>
        <w:t xml:space="preserve"> 2</w:t>
      </w:r>
      <w:r w:rsidR="00422F63">
        <w:rPr>
          <w:rFonts w:ascii="Calibri" w:eastAsia="Times New Roman" w:hAnsi="Calibri" w:cs="Calibri"/>
          <w:color w:val="000000"/>
        </w:rPr>
        <w:t>4</w:t>
      </w:r>
      <w:r w:rsidRPr="004F0F25">
        <w:rPr>
          <w:rFonts w:ascii="Calibri" w:eastAsia="Times New Roman" w:hAnsi="Calibri" w:cs="Calibri"/>
          <w:color w:val="000000"/>
        </w:rPr>
        <w:t xml:space="preserve"> </w:t>
      </w:r>
      <w:r w:rsidR="00534B9C">
        <w:rPr>
          <w:rFonts w:ascii="Calibri" w:eastAsia="Times New Roman" w:hAnsi="Calibri" w:cs="Calibri"/>
          <w:color w:val="000000"/>
        </w:rPr>
        <w:t>prosent</w:t>
      </w:r>
      <w:r w:rsidRPr="004F0F25">
        <w:rPr>
          <w:rFonts w:ascii="Calibri" w:eastAsia="Times New Roman" w:hAnsi="Calibri" w:cs="Calibri"/>
          <w:color w:val="000000"/>
        </w:rPr>
        <w:t xml:space="preserve"> av alle </w:t>
      </w:r>
      <w:r w:rsidR="00200A83">
        <w:rPr>
          <w:rFonts w:ascii="Calibri" w:eastAsia="Times New Roman" w:hAnsi="Calibri" w:cs="Calibri"/>
          <w:color w:val="000000"/>
        </w:rPr>
        <w:t>doktorgrads</w:t>
      </w:r>
      <w:r w:rsidRPr="004F0F25">
        <w:rPr>
          <w:rFonts w:ascii="Calibri" w:eastAsia="Times New Roman" w:hAnsi="Calibri" w:cs="Calibri"/>
          <w:color w:val="000000"/>
        </w:rPr>
        <w:t xml:space="preserve">årsverkene i perioden. Samlet sett utgjør dette litt over en femtedel av alle </w:t>
      </w:r>
      <w:r w:rsidRPr="004F0F25">
        <w:rPr>
          <w:rFonts w:ascii="Calibri" w:eastAsia="Times New Roman" w:hAnsi="Calibri" w:cs="Calibri"/>
          <w:color w:val="000000"/>
        </w:rPr>
        <w:lastRenderedPageBreak/>
        <w:t xml:space="preserve">doktorgradsårsverkene i Forskningsrådets portefølje. Forskningsrådet virkemidler </w:t>
      </w:r>
      <w:r w:rsidR="00200A83">
        <w:rPr>
          <w:rFonts w:ascii="Calibri" w:eastAsia="Times New Roman" w:hAnsi="Calibri" w:cs="Calibri"/>
          <w:color w:val="000000"/>
        </w:rPr>
        <w:t xml:space="preserve">støtter </w:t>
      </w:r>
      <w:r w:rsidRPr="004F0F25">
        <w:rPr>
          <w:rFonts w:ascii="Calibri" w:eastAsia="Times New Roman" w:hAnsi="Calibri" w:cs="Calibri"/>
          <w:color w:val="000000"/>
        </w:rPr>
        <w:t>på denne måten i stor grad</w:t>
      </w:r>
      <w:r w:rsidR="00200A83">
        <w:rPr>
          <w:rFonts w:ascii="Calibri" w:eastAsia="Times New Roman" w:hAnsi="Calibri" w:cs="Calibri"/>
          <w:color w:val="000000"/>
        </w:rPr>
        <w:t xml:space="preserve"> opp under målet om</w:t>
      </w:r>
      <w:r w:rsidRPr="004F0F25">
        <w:rPr>
          <w:rFonts w:ascii="Calibri" w:eastAsia="Times New Roman" w:hAnsi="Calibri" w:cs="Calibri"/>
          <w:color w:val="000000"/>
        </w:rPr>
        <w:t xml:space="preserve"> sektorsamspill og kunnskapsflyt.      </w:t>
      </w:r>
      <w:r w:rsidRPr="002A5E17">
        <w:rPr>
          <w:rFonts w:ascii="Calibri" w:eastAsia="Times New Roman" w:hAnsi="Calibri" w:cs="Calibri"/>
          <w:color w:val="000000"/>
        </w:rPr>
        <w:t> </w:t>
      </w:r>
    </w:p>
    <w:p w14:paraId="422E5BFA" w14:textId="77777777" w:rsidR="00D02608" w:rsidRDefault="00D02608" w:rsidP="004730B4">
      <w:pPr>
        <w:spacing w:after="0" w:line="240" w:lineRule="auto"/>
        <w:textAlignment w:val="baseline"/>
        <w:rPr>
          <w:rFonts w:ascii="Calibri" w:eastAsia="Times New Roman" w:hAnsi="Calibri" w:cs="Calibri"/>
          <w:b/>
          <w:bCs/>
          <w:i/>
          <w:iCs/>
          <w:color w:val="000000"/>
        </w:rPr>
      </w:pPr>
    </w:p>
    <w:p w14:paraId="0C2B424D" w14:textId="4CFA8788" w:rsidR="004730B4" w:rsidRPr="003801FE" w:rsidRDefault="003801FE" w:rsidP="004730B4">
      <w:pPr>
        <w:spacing w:after="0" w:line="240" w:lineRule="auto"/>
        <w:textAlignment w:val="baseline"/>
        <w:rPr>
          <w:rFonts w:ascii="Calibri" w:eastAsia="Times New Roman" w:hAnsi="Calibri" w:cs="Calibri"/>
          <w:b/>
          <w:bCs/>
          <w:i/>
          <w:iCs/>
          <w:color w:val="000000"/>
        </w:rPr>
      </w:pPr>
      <w:r w:rsidRPr="003801FE">
        <w:rPr>
          <w:rFonts w:ascii="Calibri" w:eastAsia="Times New Roman" w:hAnsi="Calibri" w:cs="Calibri"/>
          <w:b/>
          <w:bCs/>
          <w:i/>
          <w:iCs/>
          <w:color w:val="000000"/>
        </w:rPr>
        <w:t>Rekordmange utenlandske statsborgere blan</w:t>
      </w:r>
      <w:r w:rsidR="007C09F1">
        <w:rPr>
          <w:rFonts w:ascii="Calibri" w:eastAsia="Times New Roman" w:hAnsi="Calibri" w:cs="Calibri"/>
          <w:b/>
          <w:bCs/>
          <w:i/>
          <w:iCs/>
          <w:color w:val="000000"/>
        </w:rPr>
        <w:t>t</w:t>
      </w:r>
      <w:r w:rsidRPr="003801FE">
        <w:rPr>
          <w:rFonts w:ascii="Calibri" w:eastAsia="Times New Roman" w:hAnsi="Calibri" w:cs="Calibri"/>
          <w:b/>
          <w:bCs/>
          <w:i/>
          <w:iCs/>
          <w:color w:val="000000"/>
        </w:rPr>
        <w:t xml:space="preserve"> de nye doktorene i 2021 </w:t>
      </w:r>
    </w:p>
    <w:p w14:paraId="4A307580" w14:textId="478A1B53" w:rsidR="004730B4" w:rsidRPr="003801FE" w:rsidRDefault="003801FE" w:rsidP="00AF525F">
      <w:pPr>
        <w:spacing w:after="0" w:line="240" w:lineRule="auto"/>
        <w:textAlignment w:val="baseline"/>
        <w:rPr>
          <w:rFonts w:ascii="Calibri" w:eastAsia="Times New Roman" w:hAnsi="Calibri" w:cs="Calibri"/>
          <w:color w:val="000000"/>
        </w:rPr>
      </w:pPr>
      <w:r w:rsidRPr="003801FE">
        <w:rPr>
          <w:rFonts w:ascii="Calibri" w:eastAsia="Times New Roman" w:hAnsi="Calibri" w:cs="Calibri"/>
          <w:color w:val="000000"/>
        </w:rPr>
        <w:t xml:space="preserve">Det ble avlagt 1 601 doktorgrader ved norske universiteter og høgskoler i 2021, </w:t>
      </w:r>
      <w:r w:rsidR="009B1290">
        <w:rPr>
          <w:rFonts w:ascii="Calibri" w:eastAsia="Times New Roman" w:hAnsi="Calibri" w:cs="Calibri"/>
          <w:color w:val="000000"/>
        </w:rPr>
        <w:t xml:space="preserve">det er </w:t>
      </w:r>
      <w:r w:rsidRPr="003801FE">
        <w:rPr>
          <w:rFonts w:ascii="Calibri" w:eastAsia="Times New Roman" w:hAnsi="Calibri" w:cs="Calibri"/>
          <w:color w:val="000000"/>
        </w:rPr>
        <w:t xml:space="preserve">33 færre enn i 2020. Nesten 700 av de nye doktorene var utenlandske statsborgere, det tilsvarer 44 prosent. Andelen </w:t>
      </w:r>
      <w:r w:rsidR="00E06F62">
        <w:rPr>
          <w:rFonts w:ascii="Calibri" w:eastAsia="Times New Roman" w:hAnsi="Calibri" w:cs="Calibri"/>
          <w:color w:val="000000"/>
        </w:rPr>
        <w:t>er</w:t>
      </w:r>
      <w:r w:rsidRPr="003801FE">
        <w:rPr>
          <w:rFonts w:ascii="Calibri" w:eastAsia="Times New Roman" w:hAnsi="Calibri" w:cs="Calibri"/>
          <w:color w:val="000000"/>
        </w:rPr>
        <w:t xml:space="preserve"> mer enn doblet de siste 20 årene, og har aldri vært høyere enn i fjor.</w:t>
      </w:r>
      <w:r>
        <w:rPr>
          <w:rFonts w:ascii="Calibri" w:eastAsia="Times New Roman" w:hAnsi="Calibri" w:cs="Calibri"/>
          <w:color w:val="000000"/>
        </w:rPr>
        <w:t xml:space="preserve"> Dette går fram av en </w:t>
      </w:r>
      <w:r w:rsidR="007C09F1">
        <w:rPr>
          <w:rFonts w:ascii="Calibri" w:eastAsia="Times New Roman" w:hAnsi="Calibri" w:cs="Calibri"/>
          <w:color w:val="000000"/>
        </w:rPr>
        <w:t xml:space="preserve">undersøkelse som </w:t>
      </w:r>
      <w:r w:rsidR="00726908">
        <w:rPr>
          <w:rFonts w:ascii="Calibri" w:eastAsia="Times New Roman" w:hAnsi="Calibri" w:cs="Calibri"/>
          <w:color w:val="000000"/>
        </w:rPr>
        <w:t>Statistisk</w:t>
      </w:r>
      <w:r w:rsidR="007C09F1">
        <w:rPr>
          <w:rFonts w:ascii="Calibri" w:eastAsia="Times New Roman" w:hAnsi="Calibri" w:cs="Calibri"/>
          <w:color w:val="000000"/>
        </w:rPr>
        <w:t xml:space="preserve"> sentralbyrå publiserte i april i år. </w:t>
      </w:r>
    </w:p>
    <w:p w14:paraId="50D28737" w14:textId="77777777" w:rsidR="003801FE" w:rsidRPr="003801FE" w:rsidRDefault="003801FE" w:rsidP="009B1290">
      <w:pPr>
        <w:spacing w:after="0" w:line="240" w:lineRule="auto"/>
        <w:textAlignment w:val="baseline"/>
        <w:rPr>
          <w:rFonts w:ascii="Calibri" w:eastAsia="Times New Roman" w:hAnsi="Calibri" w:cs="Calibri"/>
          <w:b/>
          <w:bCs/>
          <w:color w:val="000000"/>
        </w:rPr>
      </w:pPr>
    </w:p>
    <w:p w14:paraId="7B86A9B1" w14:textId="099C91EC" w:rsidR="004730B4" w:rsidRDefault="005C6AC8" w:rsidP="005C6AC8">
      <w:pPr>
        <w:spacing w:after="0" w:line="240" w:lineRule="auto"/>
        <w:textAlignment w:val="baseline"/>
        <w:rPr>
          <w:rFonts w:ascii="Calibri" w:eastAsia="Times New Roman" w:hAnsi="Calibri" w:cs="Calibri"/>
          <w:b/>
          <w:bCs/>
          <w:i/>
          <w:iCs/>
          <w:color w:val="000000"/>
        </w:rPr>
      </w:pPr>
      <w:r>
        <w:t>Internasjonal rekruttering</w:t>
      </w:r>
      <w:r w:rsidR="007C09F1">
        <w:t xml:space="preserve"> er helt vesentlig for norske forskningsmiljøer, og det er naturlig med stor grad av internasjonale søkere. Samtidig er det ønskelig at flere studenter fra norske institusjoner og arbeidstagere i norsk arbeidsliv søker seg til en forskerkarriere. Dette gjelder ikke minst gruppen av etterkommere etter innvandrere, som til tross for å være godt representert i høyere utdanning, er underrepresentert i forskningssektoren</w:t>
      </w:r>
      <w:r w:rsidR="007C09F1">
        <w:rPr>
          <w:rStyle w:val="Fotnotereferanse"/>
        </w:rPr>
        <w:footnoteReference w:id="13"/>
      </w:r>
      <w:r w:rsidR="007C09F1">
        <w:t>.</w:t>
      </w:r>
    </w:p>
    <w:p w14:paraId="4B681606" w14:textId="77777777" w:rsidR="000E3765" w:rsidRDefault="000E3765" w:rsidP="004730B4">
      <w:pPr>
        <w:spacing w:after="0" w:line="240" w:lineRule="auto"/>
        <w:textAlignment w:val="baseline"/>
        <w:rPr>
          <w:rFonts w:ascii="Calibri" w:eastAsia="Times New Roman" w:hAnsi="Calibri" w:cs="Calibri"/>
          <w:b/>
          <w:bCs/>
          <w:i/>
          <w:iCs/>
          <w:color w:val="auto"/>
        </w:rPr>
      </w:pPr>
    </w:p>
    <w:p w14:paraId="2C5B9065" w14:textId="5F5DD9D4" w:rsidR="004730B4" w:rsidRPr="000E3765" w:rsidRDefault="000E3765" w:rsidP="004730B4">
      <w:pPr>
        <w:spacing w:after="0" w:line="240" w:lineRule="auto"/>
        <w:textAlignment w:val="baseline"/>
        <w:rPr>
          <w:rFonts w:ascii="Calibri" w:eastAsia="Times New Roman" w:hAnsi="Calibri" w:cs="Calibri"/>
          <w:color w:val="auto"/>
        </w:rPr>
      </w:pPr>
      <w:r>
        <w:rPr>
          <w:rFonts w:ascii="Calibri" w:eastAsia="Times New Roman" w:hAnsi="Calibri" w:cs="Calibri"/>
          <w:b/>
          <w:bCs/>
          <w:i/>
          <w:iCs/>
          <w:color w:val="auto"/>
        </w:rPr>
        <w:t>H</w:t>
      </w:r>
      <w:r w:rsidR="004730B4" w:rsidRPr="000E3765">
        <w:rPr>
          <w:rFonts w:ascii="Calibri" w:eastAsia="Times New Roman" w:hAnsi="Calibri" w:cs="Calibri"/>
          <w:b/>
          <w:bCs/>
          <w:i/>
          <w:iCs/>
          <w:color w:val="auto"/>
        </w:rPr>
        <w:t>alvparten av stipendiatene som mottar utenlandsstipend er kvinner </w:t>
      </w:r>
      <w:r w:rsidR="004730B4" w:rsidRPr="000E3765">
        <w:rPr>
          <w:rFonts w:ascii="Calibri" w:eastAsia="Times New Roman" w:hAnsi="Calibri" w:cs="Calibri"/>
          <w:color w:val="auto"/>
        </w:rPr>
        <w:t> </w:t>
      </w:r>
    </w:p>
    <w:p w14:paraId="60243FEA" w14:textId="77777777" w:rsidR="00B948B8" w:rsidRDefault="00B948B8" w:rsidP="004730B4">
      <w:pPr>
        <w:spacing w:after="0" w:line="240" w:lineRule="auto"/>
        <w:textAlignment w:val="baseline"/>
        <w:rPr>
          <w:rFonts w:ascii="Calibri" w:eastAsia="Times New Roman" w:hAnsi="Calibri" w:cs="Calibri"/>
          <w:color w:val="auto"/>
        </w:rPr>
      </w:pPr>
    </w:p>
    <w:p w14:paraId="76672CD3" w14:textId="3400EEFF" w:rsidR="009D4929" w:rsidRPr="000E3765" w:rsidRDefault="009D4929" w:rsidP="004730B4">
      <w:pPr>
        <w:spacing w:after="0" w:line="240" w:lineRule="auto"/>
        <w:textAlignment w:val="baseline"/>
        <w:rPr>
          <w:rFonts w:ascii="Calibri" w:eastAsia="Times New Roman" w:hAnsi="Calibri" w:cs="Calibri"/>
          <w:color w:val="auto"/>
        </w:rPr>
      </w:pPr>
      <w:r w:rsidRPr="00B948B8">
        <w:rPr>
          <w:rFonts w:ascii="Calibri" w:eastAsia="Times New Roman" w:hAnsi="Calibri" w:cs="Calibri"/>
          <w:color w:val="000000"/>
          <w:sz w:val="18"/>
          <w:szCs w:val="18"/>
        </w:rPr>
        <w:t xml:space="preserve">Figur </w:t>
      </w:r>
      <w:r w:rsidR="00806F5A">
        <w:rPr>
          <w:rFonts w:ascii="Calibri" w:eastAsia="Times New Roman" w:hAnsi="Calibri" w:cs="Calibri"/>
          <w:color w:val="000000"/>
          <w:sz w:val="18"/>
          <w:szCs w:val="18"/>
        </w:rPr>
        <w:t>4</w:t>
      </w:r>
      <w:r w:rsidR="00B948B8" w:rsidRPr="00B948B8">
        <w:rPr>
          <w:rFonts w:ascii="Calibri" w:eastAsia="Times New Roman" w:hAnsi="Calibri" w:cs="Calibri"/>
          <w:color w:val="000000"/>
          <w:sz w:val="18"/>
          <w:szCs w:val="18"/>
        </w:rPr>
        <w:t xml:space="preserve">.10 Utenlandsstipend </w:t>
      </w:r>
      <w:r w:rsidR="00B948B8">
        <w:rPr>
          <w:rFonts w:ascii="Calibri" w:eastAsia="Times New Roman" w:hAnsi="Calibri" w:cs="Calibri"/>
          <w:color w:val="000000"/>
          <w:sz w:val="18"/>
          <w:szCs w:val="18"/>
        </w:rPr>
        <w:t>fordelt på kjønn (</w:t>
      </w:r>
      <w:r w:rsidR="00B948B8" w:rsidRPr="00B948B8">
        <w:rPr>
          <w:rFonts w:ascii="Calibri" w:eastAsia="Times New Roman" w:hAnsi="Calibri" w:cs="Calibri"/>
          <w:color w:val="000000"/>
          <w:sz w:val="18"/>
          <w:szCs w:val="18"/>
        </w:rPr>
        <w:t>2011-2021</w:t>
      </w:r>
      <w:r w:rsidR="00B948B8">
        <w:rPr>
          <w:rFonts w:ascii="Calibri" w:eastAsia="Times New Roman" w:hAnsi="Calibri" w:cs="Calibri"/>
          <w:color w:val="000000"/>
          <w:sz w:val="18"/>
          <w:szCs w:val="18"/>
        </w:rPr>
        <w:t>)</w:t>
      </w:r>
      <w:r w:rsidR="00B948B8" w:rsidRPr="00B948B8">
        <w:rPr>
          <w:rFonts w:ascii="Calibri" w:eastAsia="Times New Roman" w:hAnsi="Calibri" w:cs="Calibri"/>
          <w:color w:val="000000"/>
          <w:sz w:val="18"/>
          <w:szCs w:val="18"/>
        </w:rPr>
        <w:t xml:space="preserve">. </w:t>
      </w:r>
    </w:p>
    <w:p w14:paraId="780D58E7" w14:textId="39BF8C70" w:rsidR="004730B4" w:rsidRPr="004F0F25" w:rsidRDefault="004730B4" w:rsidP="009D4929">
      <w:pPr>
        <w:spacing w:after="0" w:line="240" w:lineRule="auto"/>
        <w:textAlignment w:val="baseline"/>
        <w:rPr>
          <w:rFonts w:ascii="Calibri" w:eastAsia="Calibri" w:hAnsi="Calibri" w:cs="Calibri"/>
          <w:color w:val="000000" w:themeColor="accent6"/>
        </w:rPr>
      </w:pPr>
      <w:r w:rsidRPr="004F0F25">
        <w:rPr>
          <w:rFonts w:ascii="Calibri" w:eastAsia="Times New Roman" w:hAnsi="Calibri" w:cs="Calibri"/>
          <w:color w:val="auto"/>
        </w:rPr>
        <w:t> </w:t>
      </w:r>
      <w:r w:rsidR="00B948B8">
        <w:rPr>
          <w:noProof/>
        </w:rPr>
        <w:drawing>
          <wp:inline distT="0" distB="0" distL="0" distR="0" wp14:anchorId="047B67E5" wp14:editId="7F4D430E">
            <wp:extent cx="5294201" cy="2020999"/>
            <wp:effectExtent l="0" t="0" r="1905" b="17780"/>
            <wp:docPr id="30" name="Diagram 30">
              <a:extLst xmlns:a="http://schemas.openxmlformats.org/drawingml/2006/main">
                <a:ext uri="{FF2B5EF4-FFF2-40B4-BE49-F238E27FC236}">
                  <a16:creationId xmlns:a16="http://schemas.microsoft.com/office/drawing/2014/main" id="{E4D32757-3700-477D-9DD1-0451BC5A13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3189BF7" w14:textId="3FA0454B" w:rsidR="004730B4" w:rsidRDefault="00B948B8" w:rsidP="004730B4">
      <w:pPr>
        <w:spacing w:after="0" w:line="240" w:lineRule="auto"/>
        <w:textAlignment w:val="baseline"/>
        <w:rPr>
          <w:rFonts w:ascii="Calibri" w:eastAsia="Times New Roman" w:hAnsi="Calibri" w:cs="Calibri"/>
          <w:color w:val="000000" w:themeColor="accent6"/>
        </w:rPr>
      </w:pPr>
      <w:r w:rsidRPr="00A47159">
        <w:rPr>
          <w:rFonts w:ascii="Calibri" w:eastAsia="Times New Roman" w:hAnsi="Calibri" w:cs="Calibri"/>
          <w:color w:val="000000" w:themeColor="accent6"/>
          <w:sz w:val="18"/>
          <w:szCs w:val="18"/>
        </w:rPr>
        <w:t>Kilde: Forskningsrådet.</w:t>
      </w:r>
    </w:p>
    <w:p w14:paraId="16DD3754" w14:textId="77777777" w:rsidR="00B948B8" w:rsidRPr="004F0F25" w:rsidRDefault="00B948B8" w:rsidP="004730B4">
      <w:pPr>
        <w:spacing w:after="0" w:line="240" w:lineRule="auto"/>
        <w:textAlignment w:val="baseline"/>
        <w:rPr>
          <w:rFonts w:ascii="Calibri" w:eastAsia="Times New Roman" w:hAnsi="Calibri" w:cs="Calibri"/>
          <w:color w:val="000000" w:themeColor="accent6"/>
        </w:rPr>
      </w:pPr>
    </w:p>
    <w:p w14:paraId="52242AEC" w14:textId="70F17DDC" w:rsidR="004730B4" w:rsidRPr="004F0F25" w:rsidRDefault="004730B4" w:rsidP="004730B4">
      <w:pPr>
        <w:spacing w:after="0" w:line="240" w:lineRule="auto"/>
        <w:textAlignment w:val="baseline"/>
        <w:rPr>
          <w:rFonts w:ascii="Calibri" w:eastAsia="Times New Roman" w:hAnsi="Calibri" w:cs="Calibri"/>
          <w:color w:val="000000"/>
        </w:rPr>
      </w:pPr>
      <w:r w:rsidRPr="43958642">
        <w:rPr>
          <w:rFonts w:ascii="Calibri" w:eastAsia="Times New Roman" w:hAnsi="Calibri" w:cs="Calibri"/>
          <w:color w:val="000000" w:themeColor="accent6"/>
        </w:rPr>
        <w:t>For å bidra til kompetanseheving og internasjonalisering av norsk forskning innførte Forskningsrådet i 2017 en sentralisert ordning med tilbud om utenlandsstipend til alle doktorgradsstipendiater og postdoktorer finansiert av Forskningsrådet. Ordninger med utenlandsstipend har eksistert lenge, men ikke som et generelt tilbud til alle stipendiater</w:t>
      </w:r>
      <w:r w:rsidR="00203C22">
        <w:rPr>
          <w:rStyle w:val="Fotnotereferanse"/>
          <w:rFonts w:ascii="Calibri" w:eastAsia="Times New Roman" w:hAnsi="Calibri" w:cs="Calibri"/>
          <w:color w:val="000000" w:themeColor="accent6"/>
        </w:rPr>
        <w:footnoteReference w:id="14"/>
      </w:r>
      <w:r w:rsidRPr="43958642">
        <w:rPr>
          <w:rFonts w:ascii="Calibri" w:eastAsia="Times New Roman" w:hAnsi="Calibri" w:cs="Calibri"/>
          <w:color w:val="000000" w:themeColor="accent6"/>
        </w:rPr>
        <w:t xml:space="preserve"> med finansiering fra Forskningsrådet.    </w:t>
      </w:r>
    </w:p>
    <w:p w14:paraId="508F718E" w14:textId="77777777" w:rsidR="004730B4" w:rsidRPr="004F0F25" w:rsidRDefault="004730B4" w:rsidP="004730B4">
      <w:pPr>
        <w:spacing w:after="0" w:line="240" w:lineRule="auto"/>
        <w:textAlignment w:val="baseline"/>
        <w:rPr>
          <w:rFonts w:ascii="Calibri" w:eastAsia="Times New Roman" w:hAnsi="Calibri" w:cs="Calibri"/>
          <w:color w:val="000000"/>
        </w:rPr>
      </w:pPr>
      <w:r w:rsidRPr="004F0F25">
        <w:rPr>
          <w:rFonts w:ascii="Times New Roman" w:eastAsia="Times New Roman" w:hAnsi="Times New Roman" w:cs="Times New Roman"/>
          <w:color w:val="000000"/>
          <w:sz w:val="24"/>
          <w:szCs w:val="24"/>
        </w:rPr>
        <w:t>  </w:t>
      </w:r>
    </w:p>
    <w:p w14:paraId="2A043BEA" w14:textId="77777777" w:rsidR="004730B4" w:rsidRPr="004F0F25" w:rsidRDefault="004730B4" w:rsidP="004730B4">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En oversikt over innvilgede utenlandsstipend i perioden 2011-2021, viser at det var en stor økning i bruken av utenlandsstipend i 2017 og 2018 sammenliknet med årene før. I 2020 "stupte" tallet på innvilgede stipend fra 194 i 2018 og 175 i 2019, til 97. I 2021 ble det registrert 125 utenlandsstipend, noe som omtrent er på samme nivået som i 2011, da det ble innvilget 123 utenlandsstipend.   </w:t>
      </w:r>
    </w:p>
    <w:p w14:paraId="7F7B45FD" w14:textId="77777777" w:rsidR="004730B4" w:rsidRPr="004F0F25" w:rsidRDefault="004730B4" w:rsidP="004730B4">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3738EDC7" w14:textId="184713F9" w:rsidR="004730B4" w:rsidRPr="004F0F25" w:rsidRDefault="004730B4" w:rsidP="004730B4">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xml:space="preserve">Økningen i bruken av utenlandsstipend i årene 2017, 2018 og 2019, er en indikasjon på at den nye ordningen med tilbud om utenlandsstipend til alle doktorgradsstipendiater og postdoktorer finansiert av Forskingsrådet, har hatt effekt. Nedgangen i 2020 må forstås i lys av redusert reisevirksomhet som følge av pandemien, og at dette varte inn i 2021. </w:t>
      </w:r>
      <w:r w:rsidRPr="004F0F25">
        <w:rPr>
          <w:rFonts w:ascii="Calibri" w:eastAsia="Times New Roman" w:hAnsi="Calibri" w:cs="Calibri"/>
          <w:color w:val="auto"/>
        </w:rPr>
        <w:t xml:space="preserve">Som omtalt innledningsvis kan det </w:t>
      </w:r>
      <w:r w:rsidR="00F9065C">
        <w:rPr>
          <w:rFonts w:ascii="Calibri" w:eastAsia="Times New Roman" w:hAnsi="Calibri" w:cs="Calibri"/>
          <w:color w:val="auto"/>
        </w:rPr>
        <w:t>ha vært</w:t>
      </w:r>
      <w:r w:rsidRPr="004F0F25">
        <w:rPr>
          <w:rFonts w:ascii="Calibri" w:eastAsia="Times New Roman" w:hAnsi="Calibri" w:cs="Calibri"/>
          <w:color w:val="auto"/>
        </w:rPr>
        <w:t xml:space="preserve"> underrapportering i tallene før 2017.  </w:t>
      </w:r>
    </w:p>
    <w:p w14:paraId="1E06B04E" w14:textId="77777777" w:rsidR="004730B4" w:rsidRPr="004F0F25" w:rsidRDefault="004730B4" w:rsidP="004730B4">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p>
    <w:p w14:paraId="01A65EFB" w14:textId="0E240CD6" w:rsidR="004730B4" w:rsidRPr="004F0F25" w:rsidRDefault="004730B4" w:rsidP="004730B4">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lastRenderedPageBreak/>
        <w:t>I perioden fra 2011-2021 var det litt flere kvinner enn menn som fikk innvilget utenlandsstipend, og i perioden 2017-2021, var det en like stor andel kvinner som menn som fikk stipend. Tar vi i betraktning at Forskningsrådet finansierte litt flere rekrutteringsårsverk til menn enn til kvinner, er det en noe større andel kvinner som har fått utenlandsstipend enn menn. Virkemid</w:t>
      </w:r>
      <w:r w:rsidR="002A2A84">
        <w:rPr>
          <w:rFonts w:ascii="Calibri" w:eastAsia="Times New Roman" w:hAnsi="Calibri" w:cs="Calibri"/>
          <w:color w:val="000000"/>
        </w:rPr>
        <w:t>de</w:t>
      </w:r>
      <w:r w:rsidRPr="004F0F25">
        <w:rPr>
          <w:rFonts w:ascii="Calibri" w:eastAsia="Times New Roman" w:hAnsi="Calibri" w:cs="Calibri"/>
          <w:color w:val="000000"/>
        </w:rPr>
        <w:t>let synes</w:t>
      </w:r>
      <w:r w:rsidR="002A2A84">
        <w:rPr>
          <w:rFonts w:ascii="Calibri" w:eastAsia="Times New Roman" w:hAnsi="Calibri" w:cs="Calibri"/>
          <w:color w:val="000000"/>
        </w:rPr>
        <w:t xml:space="preserve"> derfor</w:t>
      </w:r>
      <w:r w:rsidRPr="004F0F25">
        <w:rPr>
          <w:rFonts w:ascii="Calibri" w:eastAsia="Times New Roman" w:hAnsi="Calibri" w:cs="Calibri"/>
          <w:color w:val="000000"/>
        </w:rPr>
        <w:t xml:space="preserve"> godt egnet til å styrke kvinners forskerkarriere.   </w:t>
      </w:r>
    </w:p>
    <w:p w14:paraId="433873C0" w14:textId="03C8C320" w:rsidR="004F0F25" w:rsidRPr="002A5E17" w:rsidRDefault="004F0F25" w:rsidP="004F0F25">
      <w:pPr>
        <w:spacing w:after="0" w:line="240" w:lineRule="auto"/>
        <w:jc w:val="both"/>
        <w:textAlignment w:val="baseline"/>
        <w:rPr>
          <w:rFonts w:ascii="Calibri" w:eastAsia="Times New Roman" w:hAnsi="Calibri" w:cs="Calibri"/>
          <w:color w:val="000000"/>
        </w:rPr>
      </w:pPr>
      <w:r w:rsidRPr="002A5E17">
        <w:rPr>
          <w:rFonts w:ascii="Calibri" w:eastAsia="Times New Roman" w:hAnsi="Calibri" w:cs="Calibri"/>
          <w:color w:val="000000"/>
        </w:rPr>
        <w:t> </w:t>
      </w:r>
    </w:p>
    <w:p w14:paraId="67BD520E" w14:textId="1355FEB9" w:rsidR="004F0F25" w:rsidRPr="00F101B8" w:rsidRDefault="00EE63C3" w:rsidP="002660C0">
      <w:pPr>
        <w:pStyle w:val="Overskrift2"/>
        <w:ind w:firstLine="708"/>
        <w:rPr>
          <w:color w:val="000000"/>
          <w:sz w:val="28"/>
          <w:szCs w:val="22"/>
        </w:rPr>
      </w:pPr>
      <w:bookmarkStart w:id="10" w:name="_Toc111796577"/>
      <w:r>
        <w:rPr>
          <w:sz w:val="28"/>
          <w:szCs w:val="22"/>
        </w:rPr>
        <w:t>4</w:t>
      </w:r>
      <w:r w:rsidR="002660C0" w:rsidRPr="002660C0">
        <w:rPr>
          <w:sz w:val="28"/>
          <w:szCs w:val="22"/>
        </w:rPr>
        <w:t xml:space="preserve">.4 </w:t>
      </w:r>
      <w:r w:rsidR="004F0F25" w:rsidRPr="002660C0">
        <w:rPr>
          <w:sz w:val="28"/>
          <w:szCs w:val="22"/>
        </w:rPr>
        <w:t>Karriere</w:t>
      </w:r>
      <w:bookmarkEnd w:id="10"/>
      <w:r w:rsidR="004F0F25" w:rsidRPr="00F101B8">
        <w:rPr>
          <w:sz w:val="28"/>
          <w:szCs w:val="22"/>
        </w:rPr>
        <w:t> </w:t>
      </w:r>
    </w:p>
    <w:p w14:paraId="6501E3F6" w14:textId="77777777" w:rsid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Den viktigste innsatsfaktoren i forskning er forskerne selv. For å holde på og utvikle talentene må de få god opplæring, gode forskningsvilkår og gode karrieremuligheter. Forskningsrådet har utviklet en rekke virkemidler for å kunne satse på de unge. </w:t>
      </w:r>
      <w:r w:rsidRPr="002A5E17">
        <w:rPr>
          <w:rFonts w:ascii="Calibri" w:eastAsia="Times New Roman" w:hAnsi="Calibri" w:cs="Calibri"/>
          <w:color w:val="000000"/>
        </w:rPr>
        <w:t> </w:t>
      </w:r>
    </w:p>
    <w:p w14:paraId="34754DDF" w14:textId="3260FA38" w:rsidR="004F0F25" w:rsidRPr="002A5E17" w:rsidRDefault="004F0F25" w:rsidP="005A3E95">
      <w:pPr>
        <w:spacing w:after="0" w:line="240" w:lineRule="auto"/>
        <w:textAlignment w:val="baseline"/>
        <w:rPr>
          <w:rFonts w:ascii="Calibri" w:eastAsia="Times New Roman" w:hAnsi="Calibri" w:cs="Calibri"/>
          <w:color w:val="000000"/>
        </w:rPr>
      </w:pPr>
    </w:p>
    <w:p w14:paraId="5988376C" w14:textId="080796F0" w:rsidR="00654BFB" w:rsidRPr="002660C0" w:rsidRDefault="008304D7" w:rsidP="004F0F25">
      <w:pPr>
        <w:spacing w:after="0" w:line="240" w:lineRule="auto"/>
        <w:textAlignment w:val="baseline"/>
        <w:rPr>
          <w:rFonts w:ascii="Calibri" w:eastAsia="Times New Roman" w:hAnsi="Calibri" w:cs="Calibri"/>
          <w:b/>
          <w:bCs/>
          <w:i/>
          <w:iCs/>
          <w:color w:val="FF0000"/>
        </w:rPr>
      </w:pPr>
      <w:bookmarkStart w:id="11" w:name="_Hlk102572437"/>
      <w:r w:rsidRPr="00ED76CE">
        <w:rPr>
          <w:rFonts w:ascii="Calibri" w:eastAsia="Times New Roman" w:hAnsi="Calibri" w:cs="Calibri"/>
          <w:b/>
          <w:bCs/>
          <w:i/>
          <w:iCs/>
          <w:color w:val="auto"/>
        </w:rPr>
        <w:t>Gode erfaringer med forskelinje</w:t>
      </w:r>
      <w:r w:rsidR="002D0722">
        <w:rPr>
          <w:rFonts w:ascii="Calibri" w:eastAsia="Times New Roman" w:hAnsi="Calibri" w:cs="Calibri"/>
          <w:b/>
          <w:bCs/>
          <w:i/>
          <w:iCs/>
          <w:color w:val="auto"/>
        </w:rPr>
        <w:t>r</w:t>
      </w:r>
    </w:p>
    <w:p w14:paraId="7F5FCD4B" w14:textId="2C35BF91" w:rsidR="002D0722" w:rsidRDefault="0074271A" w:rsidP="00ED76CE">
      <w:pPr>
        <w:spacing w:after="0"/>
      </w:pPr>
      <w:r>
        <w:t>Rammebevilgninger til s</w:t>
      </w:r>
      <w:r w:rsidR="00654BFB">
        <w:t xml:space="preserve">tudentforskning og forskerlinjer ble opprettet </w:t>
      </w:r>
      <w:r>
        <w:t xml:space="preserve">i 2002 </w:t>
      </w:r>
      <w:r w:rsidR="00654BFB">
        <w:t>for å motvirke svikten i rekruttering av medisinere, odontologer og psykologer til forskning.</w:t>
      </w:r>
      <w:r w:rsidR="00320E6F">
        <w:t xml:space="preserve"> </w:t>
      </w:r>
      <w:r w:rsidR="00654BFB">
        <w:t>Forskningsrådet tildeler rammebevilgninger</w:t>
      </w:r>
      <w:r w:rsidR="002D0722">
        <w:t xml:space="preserve"> til for</w:t>
      </w:r>
      <w:r w:rsidR="00654BFB">
        <w:t>målet</w:t>
      </w:r>
      <w:r w:rsidR="002D0722">
        <w:t>. L</w:t>
      </w:r>
      <w:r w:rsidR="00654BFB">
        <w:t xml:space="preserve">ærestedene har selv ansvar for å utlyse midlene og gjennomføre søknadsbehandling. </w:t>
      </w:r>
      <w:r w:rsidR="002D0722">
        <w:t xml:space="preserve">Målet er å:  </w:t>
      </w:r>
    </w:p>
    <w:p w14:paraId="581B1B7A" w14:textId="14D2F959" w:rsidR="00654BFB" w:rsidRPr="00ED76CE" w:rsidRDefault="002D0722" w:rsidP="00ED76CE">
      <w:pPr>
        <w:pStyle w:val="Listeavsnitt"/>
        <w:numPr>
          <w:ilvl w:val="0"/>
          <w:numId w:val="25"/>
        </w:numPr>
        <w:rPr>
          <w:rFonts w:eastAsia="Times New Roman"/>
        </w:rPr>
      </w:pPr>
      <w:r>
        <w:rPr>
          <w:rFonts w:eastAsia="Times New Roman"/>
        </w:rPr>
        <w:t>ø</w:t>
      </w:r>
      <w:r w:rsidR="00654BFB" w:rsidRPr="00ED76CE">
        <w:rPr>
          <w:rFonts w:eastAsia="Times New Roman"/>
        </w:rPr>
        <w:t>ke andelen profesjonsstudenter (medisin, odontologi, psykologi) som rekrutteres til doktorgradsstudier og en videre forskerkarriere</w:t>
      </w:r>
    </w:p>
    <w:p w14:paraId="22F9EF97" w14:textId="5204DE46" w:rsidR="00654BFB" w:rsidRDefault="002D0722" w:rsidP="00654BFB">
      <w:pPr>
        <w:pStyle w:val="Listeavsnitt"/>
        <w:numPr>
          <w:ilvl w:val="0"/>
          <w:numId w:val="24"/>
        </w:numPr>
        <w:spacing w:after="120" w:line="240" w:lineRule="auto"/>
        <w:rPr>
          <w:rFonts w:eastAsia="Times New Roman"/>
        </w:rPr>
      </w:pPr>
      <w:r>
        <w:rPr>
          <w:rFonts w:eastAsia="Times New Roman"/>
        </w:rPr>
        <w:t>r</w:t>
      </w:r>
      <w:r w:rsidR="00654BFB">
        <w:rPr>
          <w:rFonts w:eastAsia="Times New Roman"/>
        </w:rPr>
        <w:t>edusere tidsbruken for, og alderen ved, avlagt doktorgrad samt øke andelen fullførte doktorgrader i profesjonsfag (medisin, odontologi og psykologi)</w:t>
      </w:r>
    </w:p>
    <w:p w14:paraId="69692648" w14:textId="57F28C9A" w:rsidR="00654BFB" w:rsidRDefault="002D0722" w:rsidP="00654BFB">
      <w:pPr>
        <w:pStyle w:val="Listeavsnitt"/>
        <w:numPr>
          <w:ilvl w:val="0"/>
          <w:numId w:val="24"/>
        </w:numPr>
        <w:spacing w:after="120" w:line="240" w:lineRule="auto"/>
        <w:rPr>
          <w:rFonts w:eastAsia="Times New Roman"/>
        </w:rPr>
      </w:pPr>
      <w:r>
        <w:rPr>
          <w:rFonts w:eastAsia="Times New Roman"/>
        </w:rPr>
        <w:t>s</w:t>
      </w:r>
      <w:r w:rsidR="00654BFB">
        <w:rPr>
          <w:rFonts w:eastAsia="Times New Roman"/>
        </w:rPr>
        <w:t>tyrke koblingen mellom forskning og utdanning tidlig i studieløpet til profesjonsfag (medisin, odontologi og psykologi)</w:t>
      </w:r>
      <w:r w:rsidR="00E32AC7">
        <w:rPr>
          <w:rFonts w:eastAsia="Times New Roman"/>
        </w:rPr>
        <w:t>.</w:t>
      </w:r>
    </w:p>
    <w:p w14:paraId="1A83F142" w14:textId="0DEA774C" w:rsidR="008304D7" w:rsidRDefault="00175D23" w:rsidP="008304D7">
      <w:pPr>
        <w:spacing w:after="0" w:line="240" w:lineRule="auto"/>
        <w:textAlignment w:val="baseline"/>
        <w:rPr>
          <w:rFonts w:ascii="Calibri" w:eastAsia="Times New Roman" w:hAnsi="Calibri" w:cs="Calibri"/>
          <w:color w:val="auto"/>
          <w:sz w:val="18"/>
          <w:szCs w:val="18"/>
        </w:rPr>
      </w:pPr>
      <w:r w:rsidRPr="00ED76CE">
        <w:rPr>
          <w:rFonts w:ascii="Calibri" w:eastAsia="Times New Roman" w:hAnsi="Calibri" w:cs="Calibri"/>
          <w:color w:val="auto"/>
          <w:sz w:val="18"/>
          <w:szCs w:val="18"/>
        </w:rPr>
        <w:t>Tabell</w:t>
      </w:r>
      <w:r w:rsidR="00AE5278" w:rsidRPr="00ED76CE">
        <w:rPr>
          <w:rFonts w:ascii="Calibri" w:eastAsia="Times New Roman" w:hAnsi="Calibri" w:cs="Calibri"/>
          <w:color w:val="auto"/>
          <w:sz w:val="18"/>
          <w:szCs w:val="18"/>
        </w:rPr>
        <w:t xml:space="preserve"> 4</w:t>
      </w:r>
      <w:r w:rsidRPr="00ED76CE">
        <w:rPr>
          <w:rFonts w:ascii="Calibri" w:eastAsia="Times New Roman" w:hAnsi="Calibri" w:cs="Calibri"/>
          <w:color w:val="auto"/>
          <w:sz w:val="18"/>
          <w:szCs w:val="18"/>
        </w:rPr>
        <w:t xml:space="preserve">: Antall </w:t>
      </w:r>
      <w:r w:rsidR="0074271A">
        <w:rPr>
          <w:rFonts w:ascii="Calibri" w:eastAsia="Times New Roman" w:hAnsi="Calibri" w:cs="Calibri"/>
          <w:color w:val="auto"/>
          <w:sz w:val="18"/>
          <w:szCs w:val="18"/>
        </w:rPr>
        <w:t xml:space="preserve">studenter tatt opp på </w:t>
      </w:r>
      <w:r w:rsidR="00AE5278" w:rsidRPr="00ED76CE">
        <w:rPr>
          <w:rFonts w:ascii="Calibri" w:eastAsia="Times New Roman" w:hAnsi="Calibri" w:cs="Calibri"/>
          <w:color w:val="auto"/>
          <w:sz w:val="18"/>
          <w:szCs w:val="18"/>
        </w:rPr>
        <w:t>forskerlinje</w:t>
      </w:r>
      <w:r w:rsidR="0074271A">
        <w:rPr>
          <w:rFonts w:ascii="Calibri" w:eastAsia="Times New Roman" w:hAnsi="Calibri" w:cs="Calibri"/>
          <w:color w:val="auto"/>
          <w:sz w:val="18"/>
          <w:szCs w:val="18"/>
        </w:rPr>
        <w:t xml:space="preserve">- og forskerlinjepiloter </w:t>
      </w:r>
      <w:r w:rsidR="00AE5278" w:rsidRPr="00ED76CE">
        <w:rPr>
          <w:rFonts w:ascii="Calibri" w:eastAsia="Times New Roman" w:hAnsi="Calibri" w:cs="Calibri"/>
          <w:color w:val="auto"/>
          <w:sz w:val="18"/>
          <w:szCs w:val="18"/>
        </w:rPr>
        <w:t xml:space="preserve">på fagområder </w:t>
      </w:r>
      <w:r w:rsidR="005B3AF6">
        <w:rPr>
          <w:rFonts w:ascii="Calibri" w:eastAsia="Times New Roman" w:hAnsi="Calibri" w:cs="Calibri"/>
          <w:color w:val="auto"/>
          <w:sz w:val="18"/>
          <w:szCs w:val="18"/>
        </w:rPr>
        <w:t xml:space="preserve">og </w:t>
      </w:r>
      <w:r w:rsidR="00AE5278" w:rsidRPr="00ED76CE">
        <w:rPr>
          <w:rFonts w:ascii="Calibri" w:eastAsia="Times New Roman" w:hAnsi="Calibri" w:cs="Calibri"/>
          <w:color w:val="auto"/>
          <w:sz w:val="18"/>
          <w:szCs w:val="18"/>
        </w:rPr>
        <w:t>institusjoner i</w:t>
      </w:r>
      <w:r w:rsidRPr="00ED76CE">
        <w:rPr>
          <w:rFonts w:ascii="Calibri" w:eastAsia="Times New Roman" w:hAnsi="Calibri" w:cs="Calibri"/>
          <w:color w:val="auto"/>
          <w:sz w:val="18"/>
          <w:szCs w:val="18"/>
        </w:rPr>
        <w:t xml:space="preserve"> 2012-2021</w:t>
      </w:r>
      <w:r w:rsidR="005C6AC8">
        <w:rPr>
          <w:rFonts w:ascii="Calibri" w:eastAsia="Times New Roman" w:hAnsi="Calibri" w:cs="Calibri"/>
          <w:color w:val="auto"/>
          <w:sz w:val="18"/>
          <w:szCs w:val="18"/>
        </w:rPr>
        <w:t>.</w:t>
      </w:r>
      <w:r w:rsidRPr="00ED76CE">
        <w:rPr>
          <w:rFonts w:ascii="Calibri" w:eastAsia="Times New Roman" w:hAnsi="Calibri" w:cs="Calibri"/>
          <w:color w:val="auto"/>
          <w:sz w:val="18"/>
          <w:szCs w:val="18"/>
        </w:rPr>
        <w:t xml:space="preserve">  </w:t>
      </w:r>
    </w:p>
    <w:tbl>
      <w:tblPr>
        <w:tblW w:w="7459" w:type="dxa"/>
        <w:tblLook w:val="04A0" w:firstRow="1" w:lastRow="0" w:firstColumn="1" w:lastColumn="0" w:noHBand="0" w:noVBand="1"/>
      </w:tblPr>
      <w:tblGrid>
        <w:gridCol w:w="1400"/>
        <w:gridCol w:w="4800"/>
        <w:gridCol w:w="1259"/>
      </w:tblGrid>
      <w:tr w:rsidR="008304D7" w:rsidRPr="008304D7" w14:paraId="2F85F8A1" w14:textId="77777777" w:rsidTr="505B6C1C">
        <w:trPr>
          <w:trHeight w:val="264"/>
        </w:trPr>
        <w:tc>
          <w:tcPr>
            <w:tcW w:w="1400" w:type="dxa"/>
            <w:tcBorders>
              <w:top w:val="single" w:sz="8" w:space="0" w:color="auto"/>
              <w:left w:val="single" w:sz="8" w:space="0" w:color="auto"/>
              <w:bottom w:val="single" w:sz="4" w:space="0" w:color="auto"/>
              <w:right w:val="single" w:sz="4" w:space="0" w:color="auto"/>
            </w:tcBorders>
            <w:shd w:val="clear" w:color="auto" w:fill="E7E6E6"/>
            <w:vAlign w:val="bottom"/>
            <w:hideMark/>
          </w:tcPr>
          <w:p w14:paraId="2AF6B542" w14:textId="0865A260" w:rsidR="008304D7" w:rsidRPr="00B948B8" w:rsidRDefault="008304D7" w:rsidP="008304D7">
            <w:pPr>
              <w:spacing w:after="0" w:line="240" w:lineRule="auto"/>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Institusjon</w:t>
            </w:r>
          </w:p>
          <w:p w14:paraId="452DA218" w14:textId="6DC7F45E" w:rsidR="006877E2" w:rsidRPr="00B948B8" w:rsidRDefault="006877E2" w:rsidP="008304D7">
            <w:pPr>
              <w:spacing w:after="0" w:line="240" w:lineRule="auto"/>
              <w:rPr>
                <w:rFonts w:ascii="Calibri" w:eastAsia="Times New Roman" w:hAnsi="Calibri" w:cs="Times New Roman"/>
                <w:b/>
                <w:bCs/>
                <w:color w:val="000000"/>
                <w:lang w:val="en-US"/>
              </w:rPr>
            </w:pPr>
          </w:p>
        </w:tc>
        <w:tc>
          <w:tcPr>
            <w:tcW w:w="4800" w:type="dxa"/>
            <w:tcBorders>
              <w:top w:val="single" w:sz="8" w:space="0" w:color="auto"/>
              <w:left w:val="nil"/>
              <w:bottom w:val="single" w:sz="4" w:space="0" w:color="auto"/>
              <w:right w:val="single" w:sz="4" w:space="0" w:color="auto"/>
            </w:tcBorders>
            <w:shd w:val="clear" w:color="auto" w:fill="E7E6E6"/>
            <w:vAlign w:val="bottom"/>
            <w:hideMark/>
          </w:tcPr>
          <w:p w14:paraId="39960ED8" w14:textId="4E0C80EF" w:rsidR="008304D7" w:rsidRPr="00B948B8" w:rsidRDefault="008304D7" w:rsidP="008304D7">
            <w:pPr>
              <w:spacing w:after="0" w:line="240" w:lineRule="auto"/>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Formål for rammebevilgning</w:t>
            </w:r>
          </w:p>
          <w:p w14:paraId="02B05734" w14:textId="5594693C" w:rsidR="006877E2" w:rsidRPr="00B948B8" w:rsidRDefault="006877E2" w:rsidP="008304D7">
            <w:pPr>
              <w:spacing w:after="0" w:line="240" w:lineRule="auto"/>
              <w:rPr>
                <w:rFonts w:ascii="Calibri" w:eastAsia="Times New Roman" w:hAnsi="Calibri" w:cs="Times New Roman"/>
                <w:b/>
                <w:bCs/>
                <w:color w:val="000000"/>
                <w:lang w:val="en-US"/>
              </w:rPr>
            </w:pPr>
          </w:p>
        </w:tc>
        <w:tc>
          <w:tcPr>
            <w:tcW w:w="1259" w:type="dxa"/>
            <w:tcBorders>
              <w:top w:val="single" w:sz="8" w:space="0" w:color="auto"/>
              <w:left w:val="nil"/>
              <w:bottom w:val="single" w:sz="4" w:space="0" w:color="auto"/>
              <w:right w:val="single" w:sz="8" w:space="0" w:color="auto"/>
            </w:tcBorders>
            <w:shd w:val="clear" w:color="auto" w:fill="E7E6E6"/>
            <w:noWrap/>
            <w:vAlign w:val="bottom"/>
            <w:hideMark/>
          </w:tcPr>
          <w:p w14:paraId="218FC34A" w14:textId="77777777" w:rsidR="008304D7" w:rsidRPr="00B948B8" w:rsidRDefault="008304D7" w:rsidP="008304D7">
            <w:pPr>
              <w:spacing w:after="0" w:line="240" w:lineRule="auto"/>
              <w:jc w:val="right"/>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Sum</w:t>
            </w:r>
          </w:p>
          <w:p w14:paraId="420E0942" w14:textId="4CC44B76" w:rsidR="006877E2" w:rsidRPr="00B948B8" w:rsidRDefault="006877E2" w:rsidP="008304D7">
            <w:pPr>
              <w:spacing w:after="0" w:line="240" w:lineRule="auto"/>
              <w:jc w:val="right"/>
              <w:rPr>
                <w:rFonts w:ascii="Calibri" w:eastAsia="Times New Roman" w:hAnsi="Calibri" w:cs="Times New Roman"/>
                <w:b/>
                <w:bCs/>
                <w:color w:val="000000"/>
                <w:lang w:val="en-US"/>
              </w:rPr>
            </w:pPr>
          </w:p>
        </w:tc>
      </w:tr>
      <w:tr w:rsidR="008304D7" w:rsidRPr="008304D7" w14:paraId="21907665"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vAlign w:val="bottom"/>
            <w:hideMark/>
          </w:tcPr>
          <w:p w14:paraId="41A00630" w14:textId="77777777" w:rsidR="008304D7" w:rsidRPr="00B948B8" w:rsidRDefault="008304D7" w:rsidP="008304D7">
            <w:pPr>
              <w:spacing w:after="0" w:line="240" w:lineRule="auto"/>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 </w:t>
            </w:r>
          </w:p>
        </w:tc>
        <w:tc>
          <w:tcPr>
            <w:tcW w:w="4800" w:type="dxa"/>
            <w:tcBorders>
              <w:top w:val="nil"/>
              <w:left w:val="nil"/>
              <w:bottom w:val="single" w:sz="4" w:space="0" w:color="auto"/>
              <w:right w:val="single" w:sz="4" w:space="0" w:color="auto"/>
            </w:tcBorders>
            <w:shd w:val="clear" w:color="auto" w:fill="auto"/>
            <w:vAlign w:val="bottom"/>
            <w:hideMark/>
          </w:tcPr>
          <w:p w14:paraId="331A4724" w14:textId="77777777" w:rsidR="008304D7" w:rsidRPr="00B948B8" w:rsidRDefault="008304D7" w:rsidP="008304D7">
            <w:pPr>
              <w:spacing w:after="0" w:line="240" w:lineRule="auto"/>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Medisin og odontologi:</w:t>
            </w:r>
          </w:p>
        </w:tc>
        <w:tc>
          <w:tcPr>
            <w:tcW w:w="1259" w:type="dxa"/>
            <w:tcBorders>
              <w:top w:val="nil"/>
              <w:left w:val="nil"/>
              <w:bottom w:val="single" w:sz="4" w:space="0" w:color="auto"/>
              <w:right w:val="single" w:sz="8" w:space="0" w:color="auto"/>
            </w:tcBorders>
            <w:shd w:val="clear" w:color="auto" w:fill="auto"/>
            <w:noWrap/>
            <w:vAlign w:val="bottom"/>
            <w:hideMark/>
          </w:tcPr>
          <w:p w14:paraId="1227F28B" w14:textId="77777777" w:rsidR="008304D7" w:rsidRPr="00B948B8" w:rsidRDefault="008304D7" w:rsidP="008304D7">
            <w:pPr>
              <w:spacing w:after="0" w:line="240" w:lineRule="auto"/>
              <w:jc w:val="right"/>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 </w:t>
            </w:r>
          </w:p>
        </w:tc>
      </w:tr>
      <w:tr w:rsidR="008304D7" w:rsidRPr="008304D7" w14:paraId="3FCE2CC1"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3E1AC780"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UiO</w:t>
            </w:r>
          </w:p>
        </w:tc>
        <w:tc>
          <w:tcPr>
            <w:tcW w:w="4800" w:type="dxa"/>
            <w:tcBorders>
              <w:top w:val="nil"/>
              <w:left w:val="nil"/>
              <w:bottom w:val="single" w:sz="4" w:space="0" w:color="auto"/>
              <w:right w:val="single" w:sz="4" w:space="0" w:color="auto"/>
            </w:tcBorders>
            <w:shd w:val="clear" w:color="auto" w:fill="auto"/>
            <w:noWrap/>
            <w:vAlign w:val="bottom"/>
            <w:hideMark/>
          </w:tcPr>
          <w:p w14:paraId="246445EE"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Studentforskning i medisin</w:t>
            </w:r>
          </w:p>
        </w:tc>
        <w:tc>
          <w:tcPr>
            <w:tcW w:w="1259" w:type="dxa"/>
            <w:tcBorders>
              <w:top w:val="nil"/>
              <w:left w:val="nil"/>
              <w:bottom w:val="single" w:sz="4" w:space="0" w:color="auto"/>
              <w:right w:val="single" w:sz="8" w:space="0" w:color="auto"/>
            </w:tcBorders>
            <w:shd w:val="clear" w:color="auto" w:fill="auto"/>
            <w:noWrap/>
            <w:vAlign w:val="bottom"/>
            <w:hideMark/>
          </w:tcPr>
          <w:p w14:paraId="35DB796D"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192</w:t>
            </w:r>
          </w:p>
        </w:tc>
      </w:tr>
      <w:tr w:rsidR="008304D7" w:rsidRPr="008304D7" w14:paraId="4E068018"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6397C001"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UiB</w:t>
            </w:r>
          </w:p>
        </w:tc>
        <w:tc>
          <w:tcPr>
            <w:tcW w:w="4800" w:type="dxa"/>
            <w:tcBorders>
              <w:top w:val="nil"/>
              <w:left w:val="nil"/>
              <w:bottom w:val="single" w:sz="4" w:space="0" w:color="auto"/>
              <w:right w:val="single" w:sz="4" w:space="0" w:color="auto"/>
            </w:tcBorders>
            <w:shd w:val="clear" w:color="auto" w:fill="auto"/>
            <w:noWrap/>
            <w:vAlign w:val="bottom"/>
            <w:hideMark/>
          </w:tcPr>
          <w:p w14:paraId="4FADC2AD" w14:textId="77777777" w:rsidR="008304D7" w:rsidRPr="00DA0D93" w:rsidRDefault="008304D7" w:rsidP="008304D7">
            <w:pPr>
              <w:spacing w:after="0" w:line="240" w:lineRule="auto"/>
              <w:rPr>
                <w:rFonts w:ascii="Calibri" w:eastAsia="Times New Roman" w:hAnsi="Calibri" w:cs="Times New Roman"/>
                <w:color w:val="auto"/>
              </w:rPr>
            </w:pPr>
            <w:r w:rsidRPr="00DA0D93">
              <w:rPr>
                <w:rFonts w:ascii="Calibri" w:eastAsia="Times New Roman" w:hAnsi="Calibri" w:cs="Times New Roman"/>
                <w:color w:val="auto"/>
              </w:rPr>
              <w:t>Studentforskning i medisin og odontologi</w:t>
            </w:r>
          </w:p>
        </w:tc>
        <w:tc>
          <w:tcPr>
            <w:tcW w:w="1259" w:type="dxa"/>
            <w:tcBorders>
              <w:top w:val="nil"/>
              <w:left w:val="nil"/>
              <w:bottom w:val="single" w:sz="4" w:space="0" w:color="auto"/>
              <w:right w:val="single" w:sz="8" w:space="0" w:color="auto"/>
            </w:tcBorders>
            <w:shd w:val="clear" w:color="auto" w:fill="auto"/>
            <w:noWrap/>
            <w:vAlign w:val="bottom"/>
            <w:hideMark/>
          </w:tcPr>
          <w:p w14:paraId="5812384B"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149</w:t>
            </w:r>
          </w:p>
        </w:tc>
      </w:tr>
      <w:tr w:rsidR="008304D7" w:rsidRPr="008304D7" w14:paraId="48A5D27F"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6A6CF34E"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NTNU</w:t>
            </w:r>
          </w:p>
        </w:tc>
        <w:tc>
          <w:tcPr>
            <w:tcW w:w="4800" w:type="dxa"/>
            <w:tcBorders>
              <w:top w:val="nil"/>
              <w:left w:val="nil"/>
              <w:bottom w:val="single" w:sz="4" w:space="0" w:color="auto"/>
              <w:right w:val="single" w:sz="4" w:space="0" w:color="auto"/>
            </w:tcBorders>
            <w:shd w:val="clear" w:color="auto" w:fill="auto"/>
            <w:noWrap/>
            <w:vAlign w:val="bottom"/>
            <w:hideMark/>
          </w:tcPr>
          <w:p w14:paraId="70BEE853"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Studentforskning i medisin</w:t>
            </w:r>
          </w:p>
        </w:tc>
        <w:tc>
          <w:tcPr>
            <w:tcW w:w="1259" w:type="dxa"/>
            <w:tcBorders>
              <w:top w:val="nil"/>
              <w:left w:val="nil"/>
              <w:bottom w:val="single" w:sz="4" w:space="0" w:color="auto"/>
              <w:right w:val="single" w:sz="8" w:space="0" w:color="auto"/>
            </w:tcBorders>
            <w:shd w:val="clear" w:color="auto" w:fill="auto"/>
            <w:noWrap/>
            <w:vAlign w:val="bottom"/>
            <w:hideMark/>
          </w:tcPr>
          <w:p w14:paraId="66E3B50E"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119</w:t>
            </w:r>
          </w:p>
        </w:tc>
      </w:tr>
      <w:tr w:rsidR="008304D7" w:rsidRPr="008304D7" w14:paraId="5777CCBC"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1C892802"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UiT</w:t>
            </w:r>
          </w:p>
        </w:tc>
        <w:tc>
          <w:tcPr>
            <w:tcW w:w="4800" w:type="dxa"/>
            <w:tcBorders>
              <w:top w:val="nil"/>
              <w:left w:val="nil"/>
              <w:bottom w:val="single" w:sz="4" w:space="0" w:color="auto"/>
              <w:right w:val="single" w:sz="4" w:space="0" w:color="auto"/>
            </w:tcBorders>
            <w:shd w:val="clear" w:color="auto" w:fill="auto"/>
            <w:noWrap/>
            <w:vAlign w:val="bottom"/>
            <w:hideMark/>
          </w:tcPr>
          <w:p w14:paraId="54D08E58"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Studentforskning i medisin</w:t>
            </w:r>
          </w:p>
        </w:tc>
        <w:tc>
          <w:tcPr>
            <w:tcW w:w="1259" w:type="dxa"/>
            <w:tcBorders>
              <w:top w:val="nil"/>
              <w:left w:val="nil"/>
              <w:bottom w:val="single" w:sz="4" w:space="0" w:color="auto"/>
              <w:right w:val="single" w:sz="8" w:space="0" w:color="auto"/>
            </w:tcBorders>
            <w:shd w:val="clear" w:color="auto" w:fill="auto"/>
            <w:noWrap/>
            <w:vAlign w:val="bottom"/>
            <w:hideMark/>
          </w:tcPr>
          <w:p w14:paraId="5FF1B9F5"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58</w:t>
            </w:r>
          </w:p>
        </w:tc>
      </w:tr>
      <w:tr w:rsidR="008304D7" w:rsidRPr="008304D7" w14:paraId="028421FE"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9F6353F"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UiO</w:t>
            </w:r>
          </w:p>
        </w:tc>
        <w:tc>
          <w:tcPr>
            <w:tcW w:w="4800" w:type="dxa"/>
            <w:tcBorders>
              <w:top w:val="nil"/>
              <w:left w:val="nil"/>
              <w:bottom w:val="single" w:sz="4" w:space="0" w:color="auto"/>
              <w:right w:val="single" w:sz="4" w:space="0" w:color="auto"/>
            </w:tcBorders>
            <w:shd w:val="clear" w:color="auto" w:fill="auto"/>
            <w:noWrap/>
            <w:vAlign w:val="bottom"/>
            <w:hideMark/>
          </w:tcPr>
          <w:p w14:paraId="65656968"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Studentforskning i odontologi</w:t>
            </w:r>
          </w:p>
        </w:tc>
        <w:tc>
          <w:tcPr>
            <w:tcW w:w="1259" w:type="dxa"/>
            <w:tcBorders>
              <w:top w:val="nil"/>
              <w:left w:val="nil"/>
              <w:bottom w:val="single" w:sz="4" w:space="0" w:color="auto"/>
              <w:right w:val="single" w:sz="8" w:space="0" w:color="auto"/>
            </w:tcBorders>
            <w:shd w:val="clear" w:color="auto" w:fill="auto"/>
            <w:noWrap/>
            <w:vAlign w:val="bottom"/>
            <w:hideMark/>
          </w:tcPr>
          <w:p w14:paraId="7E89AB78"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165</w:t>
            </w:r>
          </w:p>
        </w:tc>
      </w:tr>
      <w:tr w:rsidR="00355041" w:rsidRPr="008304D7" w14:paraId="6E58D778"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tcPr>
          <w:p w14:paraId="4796A697" w14:textId="77777777" w:rsidR="00355041" w:rsidRPr="00B948B8" w:rsidRDefault="00355041" w:rsidP="008304D7">
            <w:pPr>
              <w:spacing w:after="0" w:line="240" w:lineRule="auto"/>
              <w:rPr>
                <w:rFonts w:ascii="Calibri" w:eastAsia="Times New Roman" w:hAnsi="Calibri" w:cs="Times New Roman"/>
                <w:color w:val="000000"/>
                <w:lang w:val="en-US"/>
              </w:rPr>
            </w:pPr>
          </w:p>
        </w:tc>
        <w:tc>
          <w:tcPr>
            <w:tcW w:w="4800" w:type="dxa"/>
            <w:tcBorders>
              <w:top w:val="nil"/>
              <w:left w:val="nil"/>
              <w:bottom w:val="single" w:sz="4" w:space="0" w:color="auto"/>
              <w:right w:val="single" w:sz="4" w:space="0" w:color="auto"/>
            </w:tcBorders>
            <w:shd w:val="clear" w:color="auto" w:fill="auto"/>
            <w:noWrap/>
            <w:vAlign w:val="bottom"/>
          </w:tcPr>
          <w:p w14:paraId="7981BD27" w14:textId="6CF68726" w:rsidR="00355041" w:rsidRPr="00DA0D93" w:rsidRDefault="00DA0D93" w:rsidP="00355041">
            <w:pPr>
              <w:spacing w:after="0" w:line="240" w:lineRule="auto"/>
              <w:ind w:left="708" w:hanging="708"/>
              <w:rPr>
                <w:rFonts w:ascii="Calibri" w:eastAsia="Times New Roman" w:hAnsi="Calibri" w:cs="Times New Roman"/>
                <w:i/>
                <w:iCs/>
                <w:color w:val="auto"/>
                <w:lang w:val="en-US"/>
              </w:rPr>
            </w:pPr>
            <w:r>
              <w:rPr>
                <w:rFonts w:ascii="Calibri" w:eastAsia="Times New Roman" w:hAnsi="Calibri" w:cs="Times New Roman"/>
                <w:i/>
                <w:iCs/>
                <w:color w:val="auto"/>
                <w:lang w:val="en-US"/>
              </w:rPr>
              <w:t>T</w:t>
            </w:r>
            <w:r w:rsidR="00D55C08" w:rsidRPr="00DA0D93">
              <w:rPr>
                <w:rFonts w:ascii="Calibri" w:eastAsia="Times New Roman" w:hAnsi="Calibri" w:cs="Times New Roman"/>
                <w:i/>
                <w:iCs/>
                <w:color w:val="auto"/>
                <w:lang w:val="en-US"/>
              </w:rPr>
              <w:t>otalt</w:t>
            </w:r>
          </w:p>
        </w:tc>
        <w:tc>
          <w:tcPr>
            <w:tcW w:w="1259" w:type="dxa"/>
            <w:tcBorders>
              <w:top w:val="nil"/>
              <w:left w:val="nil"/>
              <w:bottom w:val="single" w:sz="4" w:space="0" w:color="auto"/>
              <w:right w:val="single" w:sz="8" w:space="0" w:color="auto"/>
            </w:tcBorders>
            <w:shd w:val="clear" w:color="auto" w:fill="auto"/>
            <w:noWrap/>
            <w:vAlign w:val="bottom"/>
          </w:tcPr>
          <w:p w14:paraId="01427A42" w14:textId="3C089165" w:rsidR="00355041" w:rsidRPr="00DA0D93" w:rsidRDefault="00355041" w:rsidP="00355041">
            <w:pPr>
              <w:spacing w:after="0" w:line="240" w:lineRule="auto"/>
              <w:ind w:left="708"/>
              <w:rPr>
                <w:rFonts w:ascii="Calibri" w:eastAsia="Times New Roman" w:hAnsi="Calibri" w:cs="Times New Roman"/>
                <w:color w:val="auto"/>
                <w:lang w:val="en-US"/>
              </w:rPr>
            </w:pPr>
            <w:r w:rsidRPr="00DA0D93">
              <w:rPr>
                <w:rFonts w:ascii="Calibri" w:eastAsia="Times New Roman" w:hAnsi="Calibri" w:cs="Times New Roman"/>
                <w:color w:val="auto"/>
                <w:lang w:val="en-US"/>
              </w:rPr>
              <w:t>683</w:t>
            </w:r>
          </w:p>
        </w:tc>
      </w:tr>
      <w:tr w:rsidR="008304D7" w:rsidRPr="008304D7" w14:paraId="3785CF2B"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218C971" w14:textId="2331C94D"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 </w:t>
            </w:r>
          </w:p>
        </w:tc>
        <w:tc>
          <w:tcPr>
            <w:tcW w:w="4800" w:type="dxa"/>
            <w:tcBorders>
              <w:top w:val="nil"/>
              <w:left w:val="nil"/>
              <w:bottom w:val="single" w:sz="4" w:space="0" w:color="auto"/>
              <w:right w:val="single" w:sz="4" w:space="0" w:color="auto"/>
            </w:tcBorders>
            <w:shd w:val="clear" w:color="auto" w:fill="auto"/>
            <w:noWrap/>
            <w:vAlign w:val="bottom"/>
            <w:hideMark/>
          </w:tcPr>
          <w:p w14:paraId="2BF4C86D" w14:textId="77777777" w:rsidR="008304D7" w:rsidRPr="00DA0D93" w:rsidRDefault="008304D7" w:rsidP="008304D7">
            <w:pPr>
              <w:spacing w:after="0" w:line="240" w:lineRule="auto"/>
              <w:rPr>
                <w:rFonts w:ascii="Calibri" w:eastAsia="Times New Roman" w:hAnsi="Calibri" w:cs="Times New Roman"/>
                <w:b/>
                <w:bCs/>
                <w:color w:val="auto"/>
                <w:lang w:val="en-US"/>
              </w:rPr>
            </w:pPr>
            <w:r w:rsidRPr="00DA0D93">
              <w:rPr>
                <w:rFonts w:ascii="Calibri" w:eastAsia="Times New Roman" w:hAnsi="Calibri" w:cs="Times New Roman"/>
                <w:b/>
                <w:bCs/>
                <w:color w:val="auto"/>
                <w:lang w:val="en-US"/>
              </w:rPr>
              <w:t>Psykologi</w:t>
            </w:r>
          </w:p>
        </w:tc>
        <w:tc>
          <w:tcPr>
            <w:tcW w:w="1259" w:type="dxa"/>
            <w:tcBorders>
              <w:top w:val="nil"/>
              <w:left w:val="nil"/>
              <w:bottom w:val="single" w:sz="4" w:space="0" w:color="auto"/>
              <w:right w:val="single" w:sz="8" w:space="0" w:color="auto"/>
            </w:tcBorders>
            <w:shd w:val="clear" w:color="auto" w:fill="auto"/>
            <w:noWrap/>
            <w:vAlign w:val="bottom"/>
            <w:hideMark/>
          </w:tcPr>
          <w:p w14:paraId="68B9B5F1"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 </w:t>
            </w:r>
          </w:p>
        </w:tc>
      </w:tr>
      <w:tr w:rsidR="008304D7" w:rsidRPr="008304D7" w14:paraId="3F2FD483"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3697EB0"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UiO</w:t>
            </w:r>
          </w:p>
        </w:tc>
        <w:tc>
          <w:tcPr>
            <w:tcW w:w="4800" w:type="dxa"/>
            <w:tcBorders>
              <w:top w:val="nil"/>
              <w:left w:val="nil"/>
              <w:bottom w:val="single" w:sz="4" w:space="0" w:color="auto"/>
              <w:right w:val="single" w:sz="4" w:space="0" w:color="auto"/>
            </w:tcBorders>
            <w:shd w:val="clear" w:color="auto" w:fill="auto"/>
            <w:noWrap/>
            <w:vAlign w:val="bottom"/>
            <w:hideMark/>
          </w:tcPr>
          <w:p w14:paraId="212DE627"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Studentforskning i psykologi</w:t>
            </w:r>
          </w:p>
        </w:tc>
        <w:tc>
          <w:tcPr>
            <w:tcW w:w="1259" w:type="dxa"/>
            <w:tcBorders>
              <w:top w:val="nil"/>
              <w:left w:val="nil"/>
              <w:bottom w:val="single" w:sz="4" w:space="0" w:color="auto"/>
              <w:right w:val="single" w:sz="8" w:space="0" w:color="auto"/>
            </w:tcBorders>
            <w:shd w:val="clear" w:color="auto" w:fill="auto"/>
            <w:noWrap/>
            <w:vAlign w:val="bottom"/>
            <w:hideMark/>
          </w:tcPr>
          <w:p w14:paraId="78E33331"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163</w:t>
            </w:r>
          </w:p>
        </w:tc>
      </w:tr>
      <w:tr w:rsidR="008304D7" w:rsidRPr="008304D7" w14:paraId="55194E0E"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8F88D38"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UiB</w:t>
            </w:r>
          </w:p>
        </w:tc>
        <w:tc>
          <w:tcPr>
            <w:tcW w:w="4800" w:type="dxa"/>
            <w:tcBorders>
              <w:top w:val="nil"/>
              <w:left w:val="nil"/>
              <w:bottom w:val="single" w:sz="4" w:space="0" w:color="auto"/>
              <w:right w:val="single" w:sz="4" w:space="0" w:color="auto"/>
            </w:tcBorders>
            <w:shd w:val="clear" w:color="auto" w:fill="auto"/>
            <w:noWrap/>
            <w:vAlign w:val="bottom"/>
            <w:hideMark/>
          </w:tcPr>
          <w:p w14:paraId="624E58D6"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Studentforskning i psykologi</w:t>
            </w:r>
          </w:p>
        </w:tc>
        <w:tc>
          <w:tcPr>
            <w:tcW w:w="1259" w:type="dxa"/>
            <w:tcBorders>
              <w:top w:val="nil"/>
              <w:left w:val="nil"/>
              <w:bottom w:val="single" w:sz="4" w:space="0" w:color="auto"/>
              <w:right w:val="single" w:sz="8" w:space="0" w:color="auto"/>
            </w:tcBorders>
            <w:shd w:val="clear" w:color="auto" w:fill="auto"/>
            <w:noWrap/>
            <w:vAlign w:val="bottom"/>
            <w:hideMark/>
          </w:tcPr>
          <w:p w14:paraId="72B2EC1F"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129</w:t>
            </w:r>
          </w:p>
        </w:tc>
      </w:tr>
      <w:tr w:rsidR="008304D7" w:rsidRPr="008304D7" w14:paraId="2DE9DD48"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46D46566"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NTNU</w:t>
            </w:r>
          </w:p>
        </w:tc>
        <w:tc>
          <w:tcPr>
            <w:tcW w:w="4800" w:type="dxa"/>
            <w:tcBorders>
              <w:top w:val="nil"/>
              <w:left w:val="nil"/>
              <w:bottom w:val="single" w:sz="4" w:space="0" w:color="auto"/>
              <w:right w:val="single" w:sz="4" w:space="0" w:color="auto"/>
            </w:tcBorders>
            <w:shd w:val="clear" w:color="auto" w:fill="auto"/>
            <w:noWrap/>
            <w:vAlign w:val="bottom"/>
            <w:hideMark/>
          </w:tcPr>
          <w:p w14:paraId="5D42CCA0"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Studentforskning i psykologi</w:t>
            </w:r>
          </w:p>
        </w:tc>
        <w:tc>
          <w:tcPr>
            <w:tcW w:w="1259" w:type="dxa"/>
            <w:tcBorders>
              <w:top w:val="nil"/>
              <w:left w:val="nil"/>
              <w:bottom w:val="single" w:sz="4" w:space="0" w:color="auto"/>
              <w:right w:val="single" w:sz="8" w:space="0" w:color="auto"/>
            </w:tcBorders>
            <w:shd w:val="clear" w:color="auto" w:fill="auto"/>
            <w:noWrap/>
            <w:vAlign w:val="bottom"/>
            <w:hideMark/>
          </w:tcPr>
          <w:p w14:paraId="66B0F668"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49</w:t>
            </w:r>
          </w:p>
        </w:tc>
      </w:tr>
      <w:tr w:rsidR="008304D7" w:rsidRPr="008304D7" w14:paraId="02A5BA5F"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7FDAE367"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UiT</w:t>
            </w:r>
          </w:p>
        </w:tc>
        <w:tc>
          <w:tcPr>
            <w:tcW w:w="4800" w:type="dxa"/>
            <w:tcBorders>
              <w:top w:val="nil"/>
              <w:left w:val="nil"/>
              <w:bottom w:val="single" w:sz="4" w:space="0" w:color="auto"/>
              <w:right w:val="single" w:sz="4" w:space="0" w:color="auto"/>
            </w:tcBorders>
            <w:shd w:val="clear" w:color="auto" w:fill="auto"/>
            <w:noWrap/>
            <w:vAlign w:val="bottom"/>
            <w:hideMark/>
          </w:tcPr>
          <w:p w14:paraId="0B52D4DE" w14:textId="71908684" w:rsidR="008304D7" w:rsidRPr="00DA0D93" w:rsidRDefault="008304D7" w:rsidP="008304D7">
            <w:pPr>
              <w:spacing w:after="0" w:line="240" w:lineRule="auto"/>
              <w:rPr>
                <w:rFonts w:ascii="Calibri" w:eastAsia="Times New Roman" w:hAnsi="Calibri" w:cs="Times New Roman"/>
                <w:color w:val="auto"/>
              </w:rPr>
            </w:pPr>
            <w:r w:rsidRPr="00DA0D93">
              <w:rPr>
                <w:rFonts w:ascii="Calibri" w:eastAsia="Times New Roman" w:hAnsi="Calibri" w:cs="Times New Roman"/>
                <w:color w:val="auto"/>
              </w:rPr>
              <w:t>Studentforskning i psykologi</w:t>
            </w:r>
            <w:r w:rsidR="0074271A" w:rsidRPr="00DA0D93">
              <w:rPr>
                <w:rFonts w:ascii="Calibri" w:eastAsia="Times New Roman" w:hAnsi="Calibri" w:cs="Times New Roman"/>
                <w:color w:val="auto"/>
              </w:rPr>
              <w:t xml:space="preserve"> (omgjort til pilot fra 2019)</w:t>
            </w:r>
          </w:p>
        </w:tc>
        <w:tc>
          <w:tcPr>
            <w:tcW w:w="1259" w:type="dxa"/>
            <w:tcBorders>
              <w:top w:val="nil"/>
              <w:left w:val="nil"/>
              <w:bottom w:val="single" w:sz="4" w:space="0" w:color="auto"/>
              <w:right w:val="single" w:sz="8" w:space="0" w:color="auto"/>
            </w:tcBorders>
            <w:shd w:val="clear" w:color="auto" w:fill="auto"/>
            <w:noWrap/>
            <w:vAlign w:val="bottom"/>
            <w:hideMark/>
          </w:tcPr>
          <w:p w14:paraId="03BCF23D"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30</w:t>
            </w:r>
          </w:p>
        </w:tc>
      </w:tr>
      <w:tr w:rsidR="00355041" w:rsidRPr="008304D7" w14:paraId="2E52B4AB"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tcPr>
          <w:p w14:paraId="59BE416B" w14:textId="77777777" w:rsidR="00355041" w:rsidRPr="00B948B8" w:rsidRDefault="00355041" w:rsidP="008304D7">
            <w:pPr>
              <w:spacing w:after="0" w:line="240" w:lineRule="auto"/>
              <w:rPr>
                <w:rFonts w:ascii="Calibri" w:eastAsia="Times New Roman" w:hAnsi="Calibri" w:cs="Times New Roman"/>
                <w:color w:val="000000"/>
                <w:lang w:val="en-US"/>
              </w:rPr>
            </w:pPr>
          </w:p>
        </w:tc>
        <w:tc>
          <w:tcPr>
            <w:tcW w:w="4800" w:type="dxa"/>
            <w:tcBorders>
              <w:top w:val="nil"/>
              <w:left w:val="nil"/>
              <w:bottom w:val="single" w:sz="4" w:space="0" w:color="auto"/>
              <w:right w:val="single" w:sz="4" w:space="0" w:color="auto"/>
            </w:tcBorders>
            <w:shd w:val="clear" w:color="auto" w:fill="auto"/>
            <w:noWrap/>
            <w:vAlign w:val="bottom"/>
          </w:tcPr>
          <w:p w14:paraId="72E096C4" w14:textId="77B89154" w:rsidR="00355041" w:rsidRPr="00DA0D93" w:rsidRDefault="00DA0D93" w:rsidP="008304D7">
            <w:pPr>
              <w:spacing w:after="0" w:line="240" w:lineRule="auto"/>
              <w:rPr>
                <w:rFonts w:ascii="Calibri" w:eastAsia="Times New Roman" w:hAnsi="Calibri" w:cs="Times New Roman"/>
                <w:i/>
                <w:iCs/>
                <w:color w:val="auto"/>
                <w:lang w:val="en-US"/>
              </w:rPr>
            </w:pPr>
            <w:r>
              <w:rPr>
                <w:rFonts w:ascii="Calibri" w:eastAsia="Times New Roman" w:hAnsi="Calibri" w:cs="Times New Roman"/>
                <w:i/>
                <w:iCs/>
                <w:color w:val="auto"/>
                <w:lang w:val="en-US"/>
              </w:rPr>
              <w:t>T</w:t>
            </w:r>
            <w:r w:rsidR="00355041" w:rsidRPr="00DA0D93">
              <w:rPr>
                <w:rFonts w:ascii="Calibri" w:eastAsia="Times New Roman" w:hAnsi="Calibri" w:cs="Times New Roman"/>
                <w:i/>
                <w:iCs/>
                <w:color w:val="auto"/>
                <w:lang w:val="en-US"/>
              </w:rPr>
              <w:t>otalt</w:t>
            </w:r>
          </w:p>
        </w:tc>
        <w:tc>
          <w:tcPr>
            <w:tcW w:w="1259" w:type="dxa"/>
            <w:tcBorders>
              <w:top w:val="nil"/>
              <w:left w:val="nil"/>
              <w:bottom w:val="single" w:sz="4" w:space="0" w:color="auto"/>
              <w:right w:val="single" w:sz="8" w:space="0" w:color="auto"/>
            </w:tcBorders>
            <w:shd w:val="clear" w:color="auto" w:fill="auto"/>
            <w:noWrap/>
            <w:vAlign w:val="bottom"/>
          </w:tcPr>
          <w:p w14:paraId="2D04DB02" w14:textId="243D2866" w:rsidR="00355041" w:rsidRPr="00DA0D93" w:rsidRDefault="00355041"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371</w:t>
            </w:r>
          </w:p>
        </w:tc>
      </w:tr>
      <w:tr w:rsidR="008304D7" w:rsidRPr="008304D7" w14:paraId="48F0D747"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AEB886F"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 </w:t>
            </w:r>
          </w:p>
        </w:tc>
        <w:tc>
          <w:tcPr>
            <w:tcW w:w="4800" w:type="dxa"/>
            <w:tcBorders>
              <w:top w:val="nil"/>
              <w:left w:val="nil"/>
              <w:bottom w:val="single" w:sz="4" w:space="0" w:color="auto"/>
              <w:right w:val="single" w:sz="4" w:space="0" w:color="auto"/>
            </w:tcBorders>
            <w:shd w:val="clear" w:color="auto" w:fill="auto"/>
            <w:noWrap/>
            <w:vAlign w:val="bottom"/>
            <w:hideMark/>
          </w:tcPr>
          <w:p w14:paraId="28DDCD77" w14:textId="6F3213E9" w:rsidR="008304D7" w:rsidRPr="00DA0D93" w:rsidRDefault="008304D7" w:rsidP="008304D7">
            <w:pPr>
              <w:spacing w:after="0" w:line="240" w:lineRule="auto"/>
              <w:rPr>
                <w:rFonts w:ascii="Calibri" w:eastAsia="Times New Roman" w:hAnsi="Calibri" w:cs="Times New Roman"/>
                <w:i/>
                <w:iCs/>
                <w:color w:val="auto"/>
                <w:lang w:val="en-US"/>
              </w:rPr>
            </w:pPr>
            <w:r w:rsidRPr="00DA0D93">
              <w:rPr>
                <w:rFonts w:ascii="Calibri" w:eastAsia="Times New Roman" w:hAnsi="Calibri" w:cs="Times New Roman"/>
                <w:i/>
                <w:iCs/>
                <w:color w:val="auto"/>
                <w:lang w:val="en-US"/>
              </w:rPr>
              <w:t>Studentforskning</w:t>
            </w:r>
            <w:r w:rsidR="00DA0D93">
              <w:rPr>
                <w:rFonts w:ascii="Calibri" w:eastAsia="Times New Roman" w:hAnsi="Calibri" w:cs="Times New Roman"/>
                <w:i/>
                <w:iCs/>
                <w:color w:val="auto"/>
                <w:lang w:val="en-US"/>
              </w:rPr>
              <w:t xml:space="preserve"> totalt</w:t>
            </w:r>
          </w:p>
        </w:tc>
        <w:tc>
          <w:tcPr>
            <w:tcW w:w="1259" w:type="dxa"/>
            <w:tcBorders>
              <w:top w:val="nil"/>
              <w:left w:val="nil"/>
              <w:bottom w:val="single" w:sz="4" w:space="0" w:color="auto"/>
              <w:right w:val="single" w:sz="8" w:space="0" w:color="auto"/>
            </w:tcBorders>
            <w:shd w:val="clear" w:color="auto" w:fill="auto"/>
            <w:noWrap/>
            <w:vAlign w:val="bottom"/>
            <w:hideMark/>
          </w:tcPr>
          <w:p w14:paraId="60200F1E" w14:textId="77777777" w:rsidR="008304D7" w:rsidRPr="00DA0D93" w:rsidRDefault="008304D7" w:rsidP="008304D7">
            <w:pPr>
              <w:spacing w:after="0" w:line="240" w:lineRule="auto"/>
              <w:jc w:val="right"/>
              <w:rPr>
                <w:rFonts w:ascii="Calibri" w:eastAsia="Times New Roman" w:hAnsi="Calibri" w:cs="Times New Roman"/>
                <w:b/>
                <w:bCs/>
                <w:color w:val="auto"/>
                <w:lang w:val="en-US"/>
              </w:rPr>
            </w:pPr>
            <w:r w:rsidRPr="00DA0D93">
              <w:rPr>
                <w:rFonts w:ascii="Calibri" w:eastAsia="Times New Roman" w:hAnsi="Calibri" w:cs="Times New Roman"/>
                <w:b/>
                <w:bCs/>
                <w:color w:val="auto"/>
                <w:lang w:val="en-US"/>
              </w:rPr>
              <w:t>1054</w:t>
            </w:r>
          </w:p>
        </w:tc>
      </w:tr>
      <w:tr w:rsidR="008304D7" w:rsidRPr="008304D7" w14:paraId="19C53DD4"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5A7F8F6A"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 </w:t>
            </w:r>
          </w:p>
        </w:tc>
        <w:tc>
          <w:tcPr>
            <w:tcW w:w="4800" w:type="dxa"/>
            <w:tcBorders>
              <w:top w:val="nil"/>
              <w:left w:val="nil"/>
              <w:bottom w:val="single" w:sz="4" w:space="0" w:color="auto"/>
              <w:right w:val="single" w:sz="4" w:space="0" w:color="auto"/>
            </w:tcBorders>
            <w:shd w:val="clear" w:color="auto" w:fill="auto"/>
            <w:noWrap/>
            <w:vAlign w:val="bottom"/>
            <w:hideMark/>
          </w:tcPr>
          <w:p w14:paraId="6AADC06E" w14:textId="746F0010" w:rsidR="008304D7" w:rsidRPr="00DA0D93" w:rsidRDefault="008304D7" w:rsidP="008304D7">
            <w:pPr>
              <w:spacing w:after="0" w:line="240" w:lineRule="auto"/>
              <w:rPr>
                <w:rFonts w:ascii="Calibri" w:eastAsia="Times New Roman" w:hAnsi="Calibri" w:cs="Times New Roman"/>
                <w:b/>
                <w:bCs/>
                <w:color w:val="auto"/>
                <w:lang w:val="en-US"/>
              </w:rPr>
            </w:pPr>
            <w:r w:rsidRPr="00DA0D93">
              <w:rPr>
                <w:rFonts w:ascii="Calibri" w:eastAsia="Times New Roman" w:hAnsi="Calibri" w:cs="Times New Roman"/>
                <w:b/>
                <w:bCs/>
                <w:color w:val="auto"/>
                <w:lang w:val="en-US"/>
              </w:rPr>
              <w:t>Forskerlinjepilot - diverse fagområder</w:t>
            </w:r>
            <w:r w:rsidR="0074271A" w:rsidRPr="00DA0D93">
              <w:rPr>
                <w:rFonts w:ascii="Calibri" w:eastAsia="Times New Roman" w:hAnsi="Calibri" w:cs="Times New Roman"/>
                <w:b/>
                <w:bCs/>
                <w:color w:val="auto"/>
                <w:lang w:val="en-US"/>
              </w:rPr>
              <w:t xml:space="preserve"> </w:t>
            </w:r>
            <w:r w:rsidR="0074271A" w:rsidRPr="00DA0D93">
              <w:rPr>
                <w:rFonts w:ascii="Calibri" w:eastAsia="Times New Roman" w:hAnsi="Calibri" w:cs="Times New Roman"/>
                <w:color w:val="auto"/>
              </w:rPr>
              <w:t>(oppstart 2018)</w:t>
            </w:r>
          </w:p>
        </w:tc>
        <w:tc>
          <w:tcPr>
            <w:tcW w:w="1259" w:type="dxa"/>
            <w:tcBorders>
              <w:top w:val="nil"/>
              <w:left w:val="nil"/>
              <w:bottom w:val="single" w:sz="4" w:space="0" w:color="auto"/>
              <w:right w:val="single" w:sz="8" w:space="0" w:color="auto"/>
            </w:tcBorders>
            <w:shd w:val="clear" w:color="auto" w:fill="auto"/>
            <w:noWrap/>
            <w:vAlign w:val="bottom"/>
            <w:hideMark/>
          </w:tcPr>
          <w:p w14:paraId="26BC1D85"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 </w:t>
            </w:r>
          </w:p>
        </w:tc>
      </w:tr>
      <w:tr w:rsidR="008304D7" w:rsidRPr="008304D7" w14:paraId="58F99B4D"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3EE19E92"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UiO</w:t>
            </w:r>
          </w:p>
        </w:tc>
        <w:tc>
          <w:tcPr>
            <w:tcW w:w="4800" w:type="dxa"/>
            <w:tcBorders>
              <w:top w:val="nil"/>
              <w:left w:val="nil"/>
              <w:bottom w:val="single" w:sz="4" w:space="0" w:color="auto"/>
              <w:right w:val="single" w:sz="4" w:space="0" w:color="auto"/>
            </w:tcBorders>
            <w:shd w:val="clear" w:color="auto" w:fill="auto"/>
            <w:noWrap/>
            <w:vAlign w:val="bottom"/>
            <w:hideMark/>
          </w:tcPr>
          <w:p w14:paraId="708D157D"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Forskerlinjepilot i informatikk</w:t>
            </w:r>
          </w:p>
        </w:tc>
        <w:tc>
          <w:tcPr>
            <w:tcW w:w="1259" w:type="dxa"/>
            <w:tcBorders>
              <w:top w:val="nil"/>
              <w:left w:val="nil"/>
              <w:bottom w:val="single" w:sz="4" w:space="0" w:color="auto"/>
              <w:right w:val="single" w:sz="8" w:space="0" w:color="auto"/>
            </w:tcBorders>
            <w:shd w:val="clear" w:color="auto" w:fill="auto"/>
            <w:noWrap/>
            <w:vAlign w:val="bottom"/>
            <w:hideMark/>
          </w:tcPr>
          <w:p w14:paraId="6F7E3D11"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13</w:t>
            </w:r>
          </w:p>
        </w:tc>
      </w:tr>
      <w:tr w:rsidR="008304D7" w:rsidRPr="008304D7" w14:paraId="3178B56D"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7AC7C8FD"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UiB</w:t>
            </w:r>
          </w:p>
        </w:tc>
        <w:tc>
          <w:tcPr>
            <w:tcW w:w="4800" w:type="dxa"/>
            <w:tcBorders>
              <w:top w:val="nil"/>
              <w:left w:val="nil"/>
              <w:bottom w:val="single" w:sz="4" w:space="0" w:color="auto"/>
              <w:right w:val="single" w:sz="4" w:space="0" w:color="auto"/>
            </w:tcBorders>
            <w:shd w:val="clear" w:color="auto" w:fill="auto"/>
            <w:noWrap/>
            <w:vAlign w:val="bottom"/>
            <w:hideMark/>
          </w:tcPr>
          <w:p w14:paraId="5D7680F4" w14:textId="398594BB" w:rsidR="008304D7" w:rsidRPr="00DA0D93" w:rsidRDefault="00E32AC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F</w:t>
            </w:r>
            <w:r w:rsidR="008304D7" w:rsidRPr="00DA0D93">
              <w:rPr>
                <w:rFonts w:ascii="Calibri" w:eastAsia="Times New Roman" w:hAnsi="Calibri" w:cs="Times New Roman"/>
                <w:color w:val="auto"/>
                <w:lang w:val="en-US"/>
              </w:rPr>
              <w:t>orskerlinjepilot i rettsvitenskap</w:t>
            </w:r>
          </w:p>
        </w:tc>
        <w:tc>
          <w:tcPr>
            <w:tcW w:w="1259" w:type="dxa"/>
            <w:tcBorders>
              <w:top w:val="nil"/>
              <w:left w:val="nil"/>
              <w:bottom w:val="single" w:sz="4" w:space="0" w:color="auto"/>
              <w:right w:val="single" w:sz="8" w:space="0" w:color="auto"/>
            </w:tcBorders>
            <w:shd w:val="clear" w:color="auto" w:fill="auto"/>
            <w:noWrap/>
            <w:vAlign w:val="bottom"/>
            <w:hideMark/>
          </w:tcPr>
          <w:p w14:paraId="263DF1F9"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34</w:t>
            </w:r>
          </w:p>
        </w:tc>
      </w:tr>
      <w:tr w:rsidR="008304D7" w:rsidRPr="008304D7" w14:paraId="1F6C7F86"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7ED4D383"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NTNU</w:t>
            </w:r>
          </w:p>
        </w:tc>
        <w:tc>
          <w:tcPr>
            <w:tcW w:w="4800" w:type="dxa"/>
            <w:tcBorders>
              <w:top w:val="nil"/>
              <w:left w:val="nil"/>
              <w:bottom w:val="single" w:sz="4" w:space="0" w:color="auto"/>
              <w:right w:val="single" w:sz="4" w:space="0" w:color="auto"/>
            </w:tcBorders>
            <w:shd w:val="clear" w:color="auto" w:fill="auto"/>
            <w:noWrap/>
            <w:vAlign w:val="bottom"/>
            <w:hideMark/>
          </w:tcPr>
          <w:p w14:paraId="45C33C47"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Forskerlinjepilot i ingeniørvitenskap</w:t>
            </w:r>
          </w:p>
        </w:tc>
        <w:tc>
          <w:tcPr>
            <w:tcW w:w="1259" w:type="dxa"/>
            <w:tcBorders>
              <w:top w:val="nil"/>
              <w:left w:val="nil"/>
              <w:bottom w:val="single" w:sz="4" w:space="0" w:color="auto"/>
              <w:right w:val="single" w:sz="8" w:space="0" w:color="auto"/>
            </w:tcBorders>
            <w:shd w:val="clear" w:color="auto" w:fill="auto"/>
            <w:noWrap/>
            <w:vAlign w:val="bottom"/>
            <w:hideMark/>
          </w:tcPr>
          <w:p w14:paraId="6DEC5B03"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5</w:t>
            </w:r>
          </w:p>
        </w:tc>
      </w:tr>
      <w:tr w:rsidR="008304D7" w:rsidRPr="008304D7" w14:paraId="78905AAE"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064EDDB"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UiT</w:t>
            </w:r>
          </w:p>
        </w:tc>
        <w:tc>
          <w:tcPr>
            <w:tcW w:w="4800" w:type="dxa"/>
            <w:tcBorders>
              <w:top w:val="nil"/>
              <w:left w:val="nil"/>
              <w:bottom w:val="single" w:sz="4" w:space="0" w:color="auto"/>
              <w:right w:val="single" w:sz="4" w:space="0" w:color="auto"/>
            </w:tcBorders>
            <w:shd w:val="clear" w:color="auto" w:fill="auto"/>
            <w:noWrap/>
            <w:vAlign w:val="bottom"/>
            <w:hideMark/>
          </w:tcPr>
          <w:p w14:paraId="5B05AA8C" w14:textId="4D382DF1"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Forskerlinjepilot i psykologi</w:t>
            </w:r>
            <w:r w:rsidR="0074271A" w:rsidRPr="00DA0D93">
              <w:rPr>
                <w:rFonts w:ascii="Calibri" w:eastAsia="Times New Roman" w:hAnsi="Calibri" w:cs="Times New Roman"/>
                <w:color w:val="auto"/>
                <w:lang w:val="en-US"/>
              </w:rPr>
              <w:t xml:space="preserve"> </w:t>
            </w:r>
            <w:r w:rsidR="0074271A" w:rsidRPr="00DA0D93">
              <w:rPr>
                <w:rFonts w:ascii="Calibri" w:eastAsia="Times New Roman" w:hAnsi="Calibri" w:cs="Times New Roman"/>
                <w:color w:val="auto"/>
              </w:rPr>
              <w:t>(</w:t>
            </w:r>
            <w:r w:rsidR="0074271A" w:rsidRPr="00DA0D93">
              <w:rPr>
                <w:rFonts w:ascii="Calibri" w:eastAsia="Times New Roman" w:hAnsi="Calibri" w:cs="Times New Roman"/>
                <w:color w:val="auto"/>
                <w:lang w:val="en-US"/>
              </w:rPr>
              <w:t>oppstart 2019)</w:t>
            </w:r>
          </w:p>
        </w:tc>
        <w:tc>
          <w:tcPr>
            <w:tcW w:w="1259" w:type="dxa"/>
            <w:tcBorders>
              <w:top w:val="nil"/>
              <w:left w:val="nil"/>
              <w:bottom w:val="single" w:sz="4" w:space="0" w:color="auto"/>
              <w:right w:val="single" w:sz="8" w:space="0" w:color="auto"/>
            </w:tcBorders>
            <w:shd w:val="clear" w:color="auto" w:fill="auto"/>
            <w:noWrap/>
            <w:vAlign w:val="bottom"/>
            <w:hideMark/>
          </w:tcPr>
          <w:p w14:paraId="036C9B59"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15</w:t>
            </w:r>
          </w:p>
        </w:tc>
      </w:tr>
      <w:tr w:rsidR="008304D7" w:rsidRPr="008304D7" w14:paraId="1F438AD0" w14:textId="77777777" w:rsidTr="505B6C1C">
        <w:trPr>
          <w:trHeight w:val="264"/>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54F3ABA3"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NMBU</w:t>
            </w:r>
          </w:p>
        </w:tc>
        <w:tc>
          <w:tcPr>
            <w:tcW w:w="4800" w:type="dxa"/>
            <w:tcBorders>
              <w:top w:val="nil"/>
              <w:left w:val="nil"/>
              <w:bottom w:val="nil"/>
              <w:right w:val="single" w:sz="4" w:space="0" w:color="auto"/>
            </w:tcBorders>
            <w:shd w:val="clear" w:color="auto" w:fill="auto"/>
            <w:noWrap/>
            <w:vAlign w:val="bottom"/>
            <w:hideMark/>
          </w:tcPr>
          <w:p w14:paraId="230C71BF" w14:textId="77777777" w:rsidR="008304D7" w:rsidRPr="00DA0D93" w:rsidRDefault="008304D7" w:rsidP="008304D7">
            <w:pPr>
              <w:spacing w:after="0" w:line="240" w:lineRule="auto"/>
              <w:rPr>
                <w:rFonts w:ascii="Calibri" w:eastAsia="Times New Roman" w:hAnsi="Calibri" w:cs="Times New Roman"/>
                <w:color w:val="auto"/>
                <w:lang w:val="en-US"/>
              </w:rPr>
            </w:pPr>
            <w:r w:rsidRPr="00DA0D93">
              <w:rPr>
                <w:rFonts w:ascii="Calibri" w:eastAsia="Times New Roman" w:hAnsi="Calibri" w:cs="Times New Roman"/>
                <w:color w:val="auto"/>
                <w:lang w:val="en-US"/>
              </w:rPr>
              <w:t>Forskerlinjepilot i veterinærmedisin</w:t>
            </w:r>
          </w:p>
        </w:tc>
        <w:tc>
          <w:tcPr>
            <w:tcW w:w="1259" w:type="dxa"/>
            <w:tcBorders>
              <w:top w:val="nil"/>
              <w:left w:val="nil"/>
              <w:bottom w:val="single" w:sz="4" w:space="0" w:color="auto"/>
              <w:right w:val="single" w:sz="8" w:space="0" w:color="auto"/>
            </w:tcBorders>
            <w:shd w:val="clear" w:color="auto" w:fill="auto"/>
            <w:noWrap/>
            <w:vAlign w:val="bottom"/>
            <w:hideMark/>
          </w:tcPr>
          <w:p w14:paraId="2F746496" w14:textId="77777777" w:rsidR="008304D7" w:rsidRPr="00DA0D93" w:rsidRDefault="008304D7" w:rsidP="008304D7">
            <w:pPr>
              <w:spacing w:after="0" w:line="240" w:lineRule="auto"/>
              <w:jc w:val="right"/>
              <w:rPr>
                <w:rFonts w:ascii="Calibri" w:eastAsia="Times New Roman" w:hAnsi="Calibri" w:cs="Times New Roman"/>
                <w:color w:val="auto"/>
                <w:lang w:val="en-US"/>
              </w:rPr>
            </w:pPr>
            <w:r w:rsidRPr="00DA0D93">
              <w:rPr>
                <w:rFonts w:ascii="Calibri" w:eastAsia="Times New Roman" w:hAnsi="Calibri" w:cs="Times New Roman"/>
                <w:color w:val="auto"/>
                <w:lang w:val="en-US"/>
              </w:rPr>
              <w:t>27</w:t>
            </w:r>
          </w:p>
        </w:tc>
      </w:tr>
      <w:tr w:rsidR="008304D7" w:rsidRPr="008304D7" w14:paraId="58E25794" w14:textId="77777777" w:rsidTr="505B6C1C">
        <w:trPr>
          <w:trHeight w:val="277"/>
        </w:trPr>
        <w:tc>
          <w:tcPr>
            <w:tcW w:w="1400" w:type="dxa"/>
            <w:tcBorders>
              <w:top w:val="nil"/>
              <w:left w:val="single" w:sz="8" w:space="0" w:color="auto"/>
              <w:bottom w:val="nil"/>
              <w:right w:val="single" w:sz="4" w:space="0" w:color="auto"/>
            </w:tcBorders>
            <w:shd w:val="clear" w:color="auto" w:fill="FFFFFF" w:themeFill="background1"/>
            <w:noWrap/>
            <w:vAlign w:val="bottom"/>
            <w:hideMark/>
          </w:tcPr>
          <w:p w14:paraId="7D310980"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 </w:t>
            </w:r>
          </w:p>
        </w:tc>
        <w:tc>
          <w:tcPr>
            <w:tcW w:w="4800" w:type="dxa"/>
            <w:tcBorders>
              <w:top w:val="single" w:sz="4" w:space="0" w:color="auto"/>
              <w:left w:val="nil"/>
              <w:bottom w:val="nil"/>
              <w:right w:val="single" w:sz="4" w:space="0" w:color="auto"/>
            </w:tcBorders>
            <w:shd w:val="clear" w:color="auto" w:fill="FFFFFF" w:themeFill="background1"/>
            <w:noWrap/>
            <w:vAlign w:val="bottom"/>
            <w:hideMark/>
          </w:tcPr>
          <w:p w14:paraId="5D467FB0" w14:textId="65672D01" w:rsidR="008304D7" w:rsidRPr="00DA0D93" w:rsidRDefault="008304D7" w:rsidP="008304D7">
            <w:pPr>
              <w:spacing w:after="0" w:line="240" w:lineRule="auto"/>
              <w:rPr>
                <w:rFonts w:ascii="Calibri" w:eastAsia="Times New Roman" w:hAnsi="Calibri" w:cs="Times New Roman"/>
                <w:i/>
                <w:iCs/>
                <w:color w:val="auto"/>
                <w:lang w:val="en-US"/>
              </w:rPr>
            </w:pPr>
            <w:r w:rsidRPr="00DA0D93">
              <w:rPr>
                <w:rFonts w:ascii="Calibri" w:eastAsia="Times New Roman" w:hAnsi="Calibri" w:cs="Times New Roman"/>
                <w:i/>
                <w:iCs/>
                <w:color w:val="auto"/>
                <w:lang w:val="en-US"/>
              </w:rPr>
              <w:t>Forskerlinjepilot</w:t>
            </w:r>
            <w:r w:rsidR="00355041" w:rsidRPr="00DA0D93">
              <w:rPr>
                <w:rFonts w:ascii="Calibri" w:eastAsia="Times New Roman" w:hAnsi="Calibri" w:cs="Times New Roman"/>
                <w:i/>
                <w:iCs/>
                <w:color w:val="auto"/>
                <w:lang w:val="en-US"/>
              </w:rPr>
              <w:t xml:space="preserve"> totalt</w:t>
            </w:r>
          </w:p>
        </w:tc>
        <w:tc>
          <w:tcPr>
            <w:tcW w:w="1259" w:type="dxa"/>
            <w:tcBorders>
              <w:top w:val="nil"/>
              <w:left w:val="nil"/>
              <w:bottom w:val="nil"/>
              <w:right w:val="single" w:sz="8" w:space="0" w:color="auto"/>
            </w:tcBorders>
            <w:shd w:val="clear" w:color="auto" w:fill="FFFFFF" w:themeFill="background1"/>
            <w:noWrap/>
            <w:vAlign w:val="bottom"/>
            <w:hideMark/>
          </w:tcPr>
          <w:p w14:paraId="749D7D71" w14:textId="77777777" w:rsidR="008304D7" w:rsidRPr="00DA0D93" w:rsidRDefault="008304D7" w:rsidP="008304D7">
            <w:pPr>
              <w:spacing w:after="0" w:line="240" w:lineRule="auto"/>
              <w:jc w:val="right"/>
              <w:rPr>
                <w:rFonts w:ascii="Calibri" w:eastAsia="Times New Roman" w:hAnsi="Calibri" w:cs="Times New Roman"/>
                <w:b/>
                <w:bCs/>
                <w:color w:val="auto"/>
                <w:lang w:val="en-US"/>
              </w:rPr>
            </w:pPr>
            <w:r w:rsidRPr="00DA0D93">
              <w:rPr>
                <w:rFonts w:ascii="Calibri" w:eastAsia="Times New Roman" w:hAnsi="Calibri" w:cs="Times New Roman"/>
                <w:b/>
                <w:bCs/>
                <w:color w:val="auto"/>
                <w:lang w:val="en-US"/>
              </w:rPr>
              <w:t>94</w:t>
            </w:r>
          </w:p>
        </w:tc>
      </w:tr>
      <w:tr w:rsidR="008304D7" w:rsidRPr="008304D7" w14:paraId="4E3750AA" w14:textId="77777777" w:rsidTr="505B6C1C">
        <w:trPr>
          <w:trHeight w:val="277"/>
        </w:trPr>
        <w:tc>
          <w:tcPr>
            <w:tcW w:w="140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7E46A898" w14:textId="77777777" w:rsidR="008304D7" w:rsidRPr="00B948B8" w:rsidRDefault="008304D7" w:rsidP="008304D7">
            <w:pPr>
              <w:spacing w:after="0" w:line="240" w:lineRule="auto"/>
              <w:rPr>
                <w:rFonts w:ascii="Calibri" w:eastAsia="Times New Roman" w:hAnsi="Calibri" w:cs="Times New Roman"/>
                <w:color w:val="000000"/>
                <w:lang w:val="en-US"/>
              </w:rPr>
            </w:pPr>
            <w:r w:rsidRPr="00B948B8">
              <w:rPr>
                <w:rFonts w:ascii="Calibri" w:eastAsia="Times New Roman" w:hAnsi="Calibri" w:cs="Times New Roman"/>
                <w:color w:val="000000"/>
                <w:lang w:val="en-US"/>
              </w:rPr>
              <w:t> </w:t>
            </w:r>
          </w:p>
        </w:tc>
        <w:tc>
          <w:tcPr>
            <w:tcW w:w="4800"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77BEDBA2" w14:textId="77777777" w:rsidR="008304D7" w:rsidRPr="00B948B8" w:rsidRDefault="008304D7" w:rsidP="008304D7">
            <w:pPr>
              <w:spacing w:after="0" w:line="240" w:lineRule="auto"/>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Total</w:t>
            </w:r>
          </w:p>
        </w:tc>
        <w:tc>
          <w:tcPr>
            <w:tcW w:w="125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FFCBEF9" w14:textId="77777777" w:rsidR="008304D7" w:rsidRPr="00B948B8" w:rsidRDefault="008304D7" w:rsidP="008304D7">
            <w:pPr>
              <w:spacing w:after="0" w:line="240" w:lineRule="auto"/>
              <w:jc w:val="right"/>
              <w:rPr>
                <w:rFonts w:ascii="Calibri" w:eastAsia="Times New Roman" w:hAnsi="Calibri" w:cs="Times New Roman"/>
                <w:b/>
                <w:bCs/>
                <w:color w:val="000000"/>
                <w:lang w:val="en-US"/>
              </w:rPr>
            </w:pPr>
            <w:r w:rsidRPr="00B948B8">
              <w:rPr>
                <w:rFonts w:ascii="Calibri" w:eastAsia="Times New Roman" w:hAnsi="Calibri" w:cs="Times New Roman"/>
                <w:b/>
                <w:bCs/>
                <w:color w:val="000000"/>
                <w:lang w:val="en-US"/>
              </w:rPr>
              <w:t>1148</w:t>
            </w:r>
          </w:p>
        </w:tc>
      </w:tr>
    </w:tbl>
    <w:p w14:paraId="6330EC01" w14:textId="375EDB5C" w:rsidR="505B6C1C" w:rsidRDefault="505B6C1C"/>
    <w:p w14:paraId="1C1A7181" w14:textId="3BCF3785" w:rsidR="00667886" w:rsidRPr="00ED76CE" w:rsidRDefault="00292C78" w:rsidP="00667886">
      <w:pPr>
        <w:rPr>
          <w:rFonts w:ascii="Calibri" w:eastAsia="Times New Roman" w:hAnsi="Calibri" w:cs="Calibri"/>
          <w:color w:val="auto"/>
          <w:sz w:val="18"/>
          <w:szCs w:val="18"/>
        </w:rPr>
      </w:pPr>
      <w:r w:rsidRPr="00ED76CE">
        <w:rPr>
          <w:rFonts w:ascii="Calibri" w:eastAsia="Times New Roman" w:hAnsi="Calibri" w:cs="Calibri"/>
          <w:color w:val="auto"/>
          <w:sz w:val="18"/>
          <w:szCs w:val="18"/>
        </w:rPr>
        <w:lastRenderedPageBreak/>
        <w:t>Kilde: Forskningsrådet</w:t>
      </w:r>
      <w:r w:rsidR="00A632AF">
        <w:rPr>
          <w:rFonts w:ascii="Calibri" w:eastAsia="Times New Roman" w:hAnsi="Calibri" w:cs="Calibri"/>
          <w:color w:val="auto"/>
          <w:sz w:val="18"/>
          <w:szCs w:val="18"/>
        </w:rPr>
        <w:t>.</w:t>
      </w:r>
      <w:r w:rsidR="00667886">
        <w:rPr>
          <w:rFonts w:ascii="Calibri" w:eastAsia="Times New Roman" w:hAnsi="Calibri" w:cs="Calibri"/>
          <w:color w:val="auto"/>
          <w:sz w:val="18"/>
          <w:szCs w:val="18"/>
        </w:rPr>
        <w:t xml:space="preserve"> Merk</w:t>
      </w:r>
      <w:r w:rsidR="00A632AF">
        <w:rPr>
          <w:rFonts w:ascii="Calibri" w:eastAsia="Times New Roman" w:hAnsi="Calibri" w:cs="Calibri"/>
          <w:color w:val="auto"/>
          <w:sz w:val="18"/>
          <w:szCs w:val="18"/>
        </w:rPr>
        <w:t xml:space="preserve"> at t</w:t>
      </w:r>
      <w:r w:rsidR="00667886" w:rsidRPr="00ED76CE">
        <w:rPr>
          <w:rFonts w:ascii="Calibri" w:eastAsia="Times New Roman" w:hAnsi="Calibri" w:cs="Calibri"/>
          <w:color w:val="auto"/>
          <w:sz w:val="18"/>
          <w:szCs w:val="18"/>
        </w:rPr>
        <w:t xml:space="preserve">allene </w:t>
      </w:r>
      <w:r w:rsidR="00667886">
        <w:rPr>
          <w:rFonts w:ascii="Calibri" w:eastAsia="Times New Roman" w:hAnsi="Calibri" w:cs="Calibri"/>
          <w:color w:val="auto"/>
          <w:sz w:val="18"/>
          <w:szCs w:val="18"/>
        </w:rPr>
        <w:t xml:space="preserve">bygger på innrapporterte tall </w:t>
      </w:r>
      <w:r w:rsidR="00667886" w:rsidRPr="00ED76CE">
        <w:rPr>
          <w:rFonts w:ascii="Calibri" w:eastAsia="Times New Roman" w:hAnsi="Calibri" w:cs="Calibri"/>
          <w:color w:val="auto"/>
          <w:sz w:val="18"/>
          <w:szCs w:val="18"/>
        </w:rPr>
        <w:t xml:space="preserve">fra universitetene. </w:t>
      </w:r>
      <w:r w:rsidR="00667886" w:rsidRPr="007E4659">
        <w:rPr>
          <w:rFonts w:ascii="Calibri" w:eastAsia="Times New Roman" w:hAnsi="Calibri" w:cs="Calibri"/>
          <w:color w:val="auto"/>
          <w:sz w:val="18"/>
          <w:szCs w:val="18"/>
        </w:rPr>
        <w:t xml:space="preserve">Forskerlinjeprosjektene varierer i omfang; </w:t>
      </w:r>
      <w:r w:rsidR="0074271A" w:rsidRPr="007E4659">
        <w:rPr>
          <w:rFonts w:ascii="Calibri" w:eastAsia="Times New Roman" w:hAnsi="Calibri" w:cs="Calibri"/>
          <w:color w:val="auto"/>
          <w:sz w:val="18"/>
          <w:szCs w:val="18"/>
        </w:rPr>
        <w:t>Medisin har toårig forskerlinje, psykologi og odontologi kan dele ut mindre stipend som kan være hele eller halve, eventuelt også sommerstipend (lønnsmidler i sommerferien). Omfanget framgår ikke. Tallene viser i hovedsak antall Forskningsrådsfinansierte studenter. På grunn av endrede rapporteringsrutiner er det noe usikkerhet i tallene.</w:t>
      </w:r>
      <w:r w:rsidR="00ED76CE">
        <w:rPr>
          <w:rFonts w:ascii="Calibri" w:eastAsia="Times New Roman" w:hAnsi="Calibri" w:cs="Calibri"/>
          <w:color w:val="auto"/>
          <w:sz w:val="18"/>
          <w:szCs w:val="18"/>
        </w:rPr>
        <w:t xml:space="preserve"> </w:t>
      </w:r>
      <w:r w:rsidR="00667886" w:rsidRPr="00ED76CE">
        <w:rPr>
          <w:rFonts w:ascii="Calibri" w:eastAsia="Times New Roman" w:hAnsi="Calibri" w:cs="Calibri"/>
          <w:color w:val="auto"/>
          <w:sz w:val="18"/>
          <w:szCs w:val="18"/>
        </w:rPr>
        <w:t xml:space="preserve">  </w:t>
      </w:r>
    </w:p>
    <w:p w14:paraId="00F9A170" w14:textId="11B1E73C" w:rsidR="007E4659" w:rsidRPr="000C68EC" w:rsidRDefault="00175D23" w:rsidP="007E4659">
      <w:r w:rsidRPr="00ED76CE">
        <w:rPr>
          <w:rFonts w:ascii="Calibri" w:eastAsia="Times New Roman" w:hAnsi="Calibri" w:cs="Calibri"/>
          <w:color w:val="auto"/>
        </w:rPr>
        <w:t>I perioden har det vært tildelt</w:t>
      </w:r>
      <w:r w:rsidR="00292C78" w:rsidRPr="00ED76CE">
        <w:rPr>
          <w:rFonts w:ascii="Calibri" w:eastAsia="Times New Roman" w:hAnsi="Calibri" w:cs="Calibri"/>
          <w:color w:val="auto"/>
        </w:rPr>
        <w:t xml:space="preserve"> </w:t>
      </w:r>
      <w:r w:rsidR="00F67449">
        <w:rPr>
          <w:rFonts w:ascii="Calibri" w:eastAsia="Times New Roman" w:hAnsi="Calibri" w:cs="Calibri"/>
          <w:color w:val="auto"/>
        </w:rPr>
        <w:t>o</w:t>
      </w:r>
      <w:r w:rsidR="0074271A">
        <w:rPr>
          <w:rFonts w:ascii="Calibri" w:eastAsia="Times New Roman" w:hAnsi="Calibri" w:cs="Calibri"/>
          <w:color w:val="auto"/>
        </w:rPr>
        <w:t xml:space="preserve">m lag </w:t>
      </w:r>
      <w:r w:rsidR="00292C78" w:rsidRPr="00ED76CE">
        <w:rPr>
          <w:rFonts w:ascii="Calibri" w:eastAsia="Times New Roman" w:hAnsi="Calibri" w:cs="Calibri"/>
          <w:color w:val="auto"/>
        </w:rPr>
        <w:t>1148 forskelinje</w:t>
      </w:r>
      <w:r w:rsidR="00222DDD">
        <w:rPr>
          <w:rFonts w:ascii="Calibri" w:eastAsia="Times New Roman" w:hAnsi="Calibri" w:cs="Calibri"/>
          <w:color w:val="auto"/>
        </w:rPr>
        <w:t>stipender</w:t>
      </w:r>
      <w:r w:rsidR="0074271A">
        <w:rPr>
          <w:rFonts w:ascii="Calibri" w:eastAsia="Times New Roman" w:hAnsi="Calibri" w:cs="Calibri"/>
          <w:color w:val="auto"/>
        </w:rPr>
        <w:t xml:space="preserve">. Forskerlinjer i medisin </w:t>
      </w:r>
      <w:r w:rsidR="005C6AC8">
        <w:rPr>
          <w:rFonts w:ascii="Calibri" w:eastAsia="Times New Roman" w:hAnsi="Calibri" w:cs="Calibri"/>
          <w:color w:val="auto"/>
        </w:rPr>
        <w:t>ble sist</w:t>
      </w:r>
      <w:r w:rsidR="0074271A">
        <w:rPr>
          <w:rFonts w:ascii="Calibri" w:eastAsia="Times New Roman" w:hAnsi="Calibri" w:cs="Calibri"/>
          <w:color w:val="auto"/>
        </w:rPr>
        <w:t xml:space="preserve"> </w:t>
      </w:r>
      <w:r w:rsidR="00F67449">
        <w:rPr>
          <w:rFonts w:ascii="Calibri" w:eastAsia="Times New Roman" w:hAnsi="Calibri" w:cs="Calibri"/>
          <w:color w:val="auto"/>
        </w:rPr>
        <w:t>e</w:t>
      </w:r>
      <w:r w:rsidR="0074271A">
        <w:rPr>
          <w:rFonts w:ascii="Calibri" w:eastAsia="Times New Roman" w:hAnsi="Calibri" w:cs="Calibri"/>
          <w:color w:val="auto"/>
        </w:rPr>
        <w:t>v</w:t>
      </w:r>
      <w:r w:rsidR="00F67449">
        <w:rPr>
          <w:rFonts w:ascii="Calibri" w:eastAsia="Times New Roman" w:hAnsi="Calibri" w:cs="Calibri"/>
          <w:color w:val="auto"/>
        </w:rPr>
        <w:t>a</w:t>
      </w:r>
      <w:r w:rsidR="0074271A">
        <w:rPr>
          <w:rFonts w:ascii="Calibri" w:eastAsia="Times New Roman" w:hAnsi="Calibri" w:cs="Calibri"/>
          <w:color w:val="auto"/>
        </w:rPr>
        <w:t xml:space="preserve">luert </w:t>
      </w:r>
      <w:r w:rsidR="00F67449">
        <w:rPr>
          <w:rFonts w:ascii="Calibri" w:eastAsia="Times New Roman" w:hAnsi="Calibri" w:cs="Calibri"/>
          <w:color w:val="auto"/>
        </w:rPr>
        <w:t xml:space="preserve">i </w:t>
      </w:r>
      <w:r w:rsidR="0074271A">
        <w:rPr>
          <w:rFonts w:ascii="Calibri" w:eastAsia="Times New Roman" w:hAnsi="Calibri" w:cs="Calibri"/>
          <w:color w:val="auto"/>
        </w:rPr>
        <w:t>2018, og evalueringen vi</w:t>
      </w:r>
      <w:r w:rsidR="0088264A">
        <w:rPr>
          <w:rFonts w:ascii="Calibri" w:eastAsia="Times New Roman" w:hAnsi="Calibri" w:cs="Calibri"/>
          <w:color w:val="auto"/>
        </w:rPr>
        <w:t xml:space="preserve">ser </w:t>
      </w:r>
      <w:r w:rsidR="0074271A">
        <w:rPr>
          <w:rFonts w:ascii="Calibri" w:eastAsia="Times New Roman" w:hAnsi="Calibri" w:cs="Calibri"/>
          <w:color w:val="auto"/>
        </w:rPr>
        <w:t>at dett</w:t>
      </w:r>
      <w:r w:rsidR="00F67449">
        <w:rPr>
          <w:rFonts w:ascii="Calibri" w:eastAsia="Times New Roman" w:hAnsi="Calibri" w:cs="Calibri"/>
          <w:color w:val="auto"/>
        </w:rPr>
        <w:t>e er et godt virkemiddel</w:t>
      </w:r>
      <w:r w:rsidR="00662804">
        <w:rPr>
          <w:rFonts w:ascii="Calibri" w:eastAsia="Times New Roman" w:hAnsi="Calibri" w:cs="Calibri"/>
          <w:color w:val="auto"/>
        </w:rPr>
        <w:t xml:space="preserve"> for denne gruppen</w:t>
      </w:r>
      <w:r w:rsidR="00F67449">
        <w:rPr>
          <w:rFonts w:ascii="Calibri" w:eastAsia="Times New Roman" w:hAnsi="Calibri" w:cs="Calibri"/>
          <w:color w:val="auto"/>
        </w:rPr>
        <w:t xml:space="preserve">. </w:t>
      </w:r>
      <w:r w:rsidR="007E4659" w:rsidRPr="000C68EC">
        <w:t>En kasus-kontroll-kohortstudie publisert i 2018</w:t>
      </w:r>
      <w:r w:rsidR="007E4659" w:rsidRPr="000C68EC">
        <w:rPr>
          <w:rStyle w:val="Fotnotereferanse"/>
        </w:rPr>
        <w:footnoteReference w:id="15"/>
      </w:r>
      <w:r w:rsidR="007E4659" w:rsidRPr="000C68EC">
        <w:t xml:space="preserve"> sammenlignet medisinere med og uten forskerlinje. Blant 195 uteksaminerte medisinere med forskerlinje hadde 39 </w:t>
      </w:r>
      <w:r w:rsidR="00534B9C">
        <w:t>prosent</w:t>
      </w:r>
      <w:r w:rsidR="007E4659" w:rsidRPr="000C68EC">
        <w:t xml:space="preserve"> fullført og 50 </w:t>
      </w:r>
      <w:r w:rsidR="00534B9C">
        <w:t>prosent</w:t>
      </w:r>
      <w:r w:rsidR="007E4659" w:rsidRPr="000C68EC">
        <w:t xml:space="preserve"> påbegynt en doktorgrad. Til sammenligning var det blant 301 uteksaminerte medisinere uten forskerlinje </w:t>
      </w:r>
      <w:r w:rsidR="006877E2">
        <w:t>fire</w:t>
      </w:r>
      <w:r w:rsidR="007E4659" w:rsidRPr="000C68EC">
        <w:t xml:space="preserve"> </w:t>
      </w:r>
      <w:r w:rsidR="00534B9C">
        <w:t>prosent</w:t>
      </w:r>
      <w:r w:rsidR="007E4659" w:rsidRPr="000C68EC">
        <w:t xml:space="preserve"> som hadde fullført og 12 </w:t>
      </w:r>
      <w:r w:rsidR="00534B9C">
        <w:t>prosent</w:t>
      </w:r>
      <w:r w:rsidR="007E4659" w:rsidRPr="000C68EC">
        <w:t xml:space="preserve"> som hadde påbegynt en doktorgrad. Det var også en betydelig større andel av medisinerne med forskerlinje som hadde publisert </w:t>
      </w:r>
      <w:r w:rsidR="007E4659" w:rsidRPr="000C68EC">
        <w:rPr>
          <w:rFonts w:cstheme="minorHAnsi"/>
        </w:rPr>
        <w:t>é</w:t>
      </w:r>
      <w:r w:rsidR="007E4659" w:rsidRPr="000C68EC">
        <w:t>n eller flere forskningsartikler.</w:t>
      </w:r>
    </w:p>
    <w:p w14:paraId="03B30109" w14:textId="581E4F94" w:rsidR="007E4659" w:rsidRDefault="007E4659" w:rsidP="007E4659">
      <w:pPr>
        <w:rPr>
          <w:color w:val="auto"/>
        </w:rPr>
      </w:pPr>
      <w:r w:rsidRPr="000C68EC">
        <w:t>En undersøkelse publisert i 2019</w:t>
      </w:r>
      <w:r w:rsidRPr="000C68EC">
        <w:rPr>
          <w:rStyle w:val="Fotnotereferanse"/>
        </w:rPr>
        <w:footnoteReference w:id="16"/>
      </w:r>
      <w:r w:rsidRPr="000C68EC">
        <w:t xml:space="preserve"> fant at to av tre studenter som hadde fullført medisinerstudiet med forskerlinje ved UiB fra 2002-2017 har gått videre med en doktorgrad. Blant de som hadde fullført var medianalder ved disputas 32 år, mens medianalder i 2016 ved avlagt disputas innenfor medisin og helsefag i Norge var 38 år.</w:t>
      </w:r>
      <w:r>
        <w:t xml:space="preserve"> Videre rapporterer de medisinske fakultetene at forskerlinjestudenter i snitt bruker 1,83 år på å fullføre doktorgrad. </w:t>
      </w:r>
      <w:r w:rsidRPr="00BC26A4">
        <w:rPr>
          <w:color w:val="auto"/>
        </w:rPr>
        <w:t>Til sammenligning er tidsbruk</w:t>
      </w:r>
      <w:r>
        <w:rPr>
          <w:color w:val="auto"/>
        </w:rPr>
        <w:t xml:space="preserve"> i snitt</w:t>
      </w:r>
      <w:r w:rsidRPr="00BC26A4">
        <w:rPr>
          <w:color w:val="auto"/>
        </w:rPr>
        <w:t xml:space="preserve"> 3,84 år for øvrige medisinerstudenter</w:t>
      </w:r>
      <w:r>
        <w:rPr>
          <w:color w:val="auto"/>
        </w:rPr>
        <w:t xml:space="preserve">. </w:t>
      </w:r>
    </w:p>
    <w:p w14:paraId="62D71EF0" w14:textId="5BCB5876" w:rsidR="007E4659" w:rsidRPr="007E4659" w:rsidRDefault="007E4659" w:rsidP="007E4659">
      <w:pPr>
        <w:rPr>
          <w:color w:val="auto"/>
        </w:rPr>
      </w:pPr>
      <w:r w:rsidRPr="007E4659">
        <w:rPr>
          <w:color w:val="auto"/>
        </w:rPr>
        <w:t>Det er ikke foretatt tilsvarende evalueringer av de kortere stipendene (f.eks. sommerstipend), og det er derfor større usikkerhet knyttet til effekten av disse.</w:t>
      </w:r>
    </w:p>
    <w:p w14:paraId="387D25E9" w14:textId="3A2FDD10" w:rsidR="00EB6A80" w:rsidRPr="0098075B" w:rsidRDefault="007E4659" w:rsidP="00EB6A80">
      <w:r>
        <w:t>F</w:t>
      </w:r>
      <w:r w:rsidR="00EB6A80">
        <w:t>orskningsrådet har i samarbeid med fem universiteter</w:t>
      </w:r>
      <w:r w:rsidR="0088264A">
        <w:t xml:space="preserve"> i til</w:t>
      </w:r>
      <w:r w:rsidR="005C6AC8">
        <w:t>l</w:t>
      </w:r>
      <w:r w:rsidR="0088264A">
        <w:t xml:space="preserve">egg </w:t>
      </w:r>
      <w:r w:rsidR="00EB6A80">
        <w:t xml:space="preserve">utredet </w:t>
      </w:r>
      <w:r w:rsidR="0088264A">
        <w:t xml:space="preserve">og satt i gang </w:t>
      </w:r>
      <w:r w:rsidR="00EB6A80">
        <w:t>forskerlinje</w:t>
      </w:r>
      <w:r w:rsidR="0088264A">
        <w:t>piloter</w:t>
      </w:r>
      <w:r w:rsidR="00EB6A80">
        <w:t xml:space="preserve"> i flere fag</w:t>
      </w:r>
      <w:r w:rsidR="0088264A">
        <w:t xml:space="preserve"> fra 2018</w:t>
      </w:r>
      <w:r w:rsidR="00EB6A80">
        <w:t>. Målet er å prøve ut ordninger som kan ha de samme positive effektene som forskerlinjen i medisin, men ikke nødvendigvis den samme oppbyggingen eller omfanget. Pilotordninger gjør det mulig å teste ut forskerlinjer innenfor flere fag, også for studieløp som ikke er profesjonsutdanninger. De fem pilotene er innenfor informatikk (UiO), rettsvitenskap (UiB), ingeniørvitenskap (NTNU), veterinærmedisin (NMBU) og psykologi (UiT).</w:t>
      </w:r>
      <w:r w:rsidR="002D0722" w:rsidRPr="002D0722">
        <w:t xml:space="preserve"> </w:t>
      </w:r>
      <w:r w:rsidR="002D0722">
        <w:t>Pilotfasen vare</w:t>
      </w:r>
      <w:r w:rsidR="00ED76CE">
        <w:t>r</w:t>
      </w:r>
      <w:r w:rsidR="002D0722">
        <w:t xml:space="preserve"> ut 2023/2024</w:t>
      </w:r>
      <w:r w:rsidR="00840B5E">
        <w:t xml:space="preserve"> og </w:t>
      </w:r>
      <w:r w:rsidR="005C6AC8">
        <w:t>vil d</w:t>
      </w:r>
      <w:r w:rsidR="00ED76CE">
        <w:t>e</w:t>
      </w:r>
      <w:r w:rsidR="002D0722">
        <w:t xml:space="preserve">retter </w:t>
      </w:r>
      <w:r w:rsidR="00ED76CE">
        <w:t xml:space="preserve">bli evaluert. </w:t>
      </w:r>
    </w:p>
    <w:bookmarkEnd w:id="11"/>
    <w:p w14:paraId="6CA75C09" w14:textId="77777777" w:rsidR="006E6ECC" w:rsidRDefault="006E6ECC" w:rsidP="004F0F25">
      <w:pPr>
        <w:spacing w:after="0" w:line="240" w:lineRule="auto"/>
        <w:textAlignment w:val="baseline"/>
        <w:rPr>
          <w:rFonts w:ascii="Calibri" w:eastAsia="Times New Roman" w:hAnsi="Calibri" w:cs="Calibri"/>
          <w:b/>
          <w:bCs/>
          <w:i/>
          <w:iCs/>
          <w:color w:val="000000"/>
        </w:rPr>
      </w:pPr>
    </w:p>
    <w:p w14:paraId="612185C0" w14:textId="29DF0AA0"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b/>
          <w:bCs/>
          <w:i/>
          <w:iCs/>
          <w:color w:val="000000"/>
        </w:rPr>
        <w:t>Flere kvinner enn menn har fått mobiltetsstipend</w:t>
      </w:r>
      <w:r w:rsidRPr="002A5E17">
        <w:rPr>
          <w:rFonts w:ascii="Calibri" w:eastAsia="Times New Roman" w:hAnsi="Calibri" w:cs="Calibri"/>
          <w:color w:val="000000"/>
        </w:rPr>
        <w:t> </w:t>
      </w:r>
    </w:p>
    <w:p w14:paraId="5D1C4607" w14:textId="022FC8C8" w:rsidR="005C3EC6" w:rsidRDefault="00421817"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En selvstendig forskerkarriere styrkes gjennom mobilitet mellom institusjoner, sektorer og land. En kandidat</w:t>
      </w:r>
      <w:r w:rsidR="005C3EC6">
        <w:rPr>
          <w:rFonts w:ascii="Calibri" w:eastAsia="Times New Roman" w:hAnsi="Calibri" w:cs="Calibri"/>
          <w:color w:val="000000"/>
        </w:rPr>
        <w:t xml:space="preserve"> </w:t>
      </w:r>
      <w:r>
        <w:rPr>
          <w:rFonts w:ascii="Calibri" w:eastAsia="Times New Roman" w:hAnsi="Calibri" w:cs="Calibri"/>
          <w:color w:val="000000"/>
        </w:rPr>
        <w:t>med utdanning eller opphold fra flere land og institusjoner oppfattes ofte som en sterkere kandidat enn en som har hele karrieren sin fra én enkelt institusjon.</w:t>
      </w:r>
      <w:r w:rsidR="005C3EC6">
        <w:rPr>
          <w:rFonts w:ascii="Calibri" w:eastAsia="Times New Roman" w:hAnsi="Calibri" w:cs="Calibri"/>
          <w:color w:val="000000"/>
        </w:rPr>
        <w:t xml:space="preserve"> </w:t>
      </w:r>
      <w:r w:rsidR="005C3EC6" w:rsidRPr="0098075B">
        <w:rPr>
          <w:rFonts w:ascii="Calibri" w:eastAsia="Times New Roman" w:hAnsi="Calibri" w:cs="Calibri"/>
          <w:i/>
          <w:iCs/>
          <w:color w:val="000000"/>
        </w:rPr>
        <w:t>Treårig forskerprosjekt med internasjonal mobilitet</w:t>
      </w:r>
      <w:r w:rsidR="005C3EC6">
        <w:rPr>
          <w:rFonts w:ascii="Calibri" w:eastAsia="Times New Roman" w:hAnsi="Calibri" w:cs="Calibri"/>
          <w:i/>
          <w:iCs/>
          <w:color w:val="000000"/>
        </w:rPr>
        <w:t>,</w:t>
      </w:r>
      <w:r w:rsidR="005C3EC6">
        <w:rPr>
          <w:rFonts w:ascii="Calibri" w:eastAsia="Times New Roman" w:hAnsi="Calibri" w:cs="Calibri"/>
          <w:color w:val="000000"/>
        </w:rPr>
        <w:t xml:space="preserve"> </w:t>
      </w:r>
      <w:r w:rsidR="0098075B">
        <w:rPr>
          <w:rFonts w:ascii="Calibri" w:eastAsia="Times New Roman" w:hAnsi="Calibri" w:cs="Calibri"/>
          <w:color w:val="000000"/>
        </w:rPr>
        <w:t xml:space="preserve">er et virkemiddel som både bidrar </w:t>
      </w:r>
      <w:r w:rsidR="005C3EC6">
        <w:rPr>
          <w:rFonts w:ascii="Calibri" w:eastAsia="Times New Roman" w:hAnsi="Calibri" w:cs="Calibri"/>
          <w:color w:val="000000"/>
        </w:rPr>
        <w:t xml:space="preserve">til kunnskapsflyt og er karrierefremmende. Hovedformålet med ordningen er at den skal være karrierefremmende, og virkemidlet omtales derfor i denne sammenheng sammen med karrierevirkemidlene.  </w:t>
      </w:r>
    </w:p>
    <w:p w14:paraId="5E150CFC" w14:textId="7976C97A" w:rsidR="004F0F25" w:rsidRPr="002A5E17" w:rsidRDefault="005C3EC6"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p>
    <w:p w14:paraId="68A01183" w14:textId="64037D7A"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xml:space="preserve">I perioden 2014-2020 har Forskningsrådet gitt bevilging til 97 prosjekter innenfor ordningen </w:t>
      </w:r>
      <w:r w:rsidRPr="0098075B">
        <w:rPr>
          <w:rFonts w:ascii="Calibri" w:eastAsia="Times New Roman" w:hAnsi="Calibri" w:cs="Calibri"/>
          <w:i/>
          <w:iCs/>
          <w:color w:val="000000"/>
        </w:rPr>
        <w:t>Treårig Forskerprosjekt med internasjonal mobilitet</w:t>
      </w:r>
      <w:r w:rsidR="0098075B">
        <w:rPr>
          <w:rFonts w:ascii="Calibri" w:eastAsia="Times New Roman" w:hAnsi="Calibri" w:cs="Calibri"/>
          <w:color w:val="000000"/>
        </w:rPr>
        <w:t>.</w:t>
      </w:r>
      <w:r w:rsidRPr="004F0F25">
        <w:rPr>
          <w:rFonts w:ascii="Calibri" w:eastAsia="Times New Roman" w:hAnsi="Calibri" w:cs="Calibri"/>
          <w:color w:val="000000"/>
        </w:rPr>
        <w:t xml:space="preserve"> Antall søknader har vært stigende fra totalt 42 i 2014 til 127 søknader i 2020. Totalt er 590 søknader blitt behandlet og 97 prosjekter har blitt innvilget. Innvilgelsesprosenten var på 33 prosent det første året (2014), 15-20 prosent i årene 2015-2018, og siden 2019 har den vært på ca. 10 prosent. </w:t>
      </w:r>
      <w:r w:rsidR="005C3EC6">
        <w:rPr>
          <w:rFonts w:ascii="Calibri" w:eastAsia="Times New Roman" w:hAnsi="Calibri" w:cs="Calibri"/>
          <w:color w:val="000000"/>
        </w:rPr>
        <w:t xml:space="preserve">Som følge av jevn økning i antall søknader </w:t>
      </w:r>
      <w:r w:rsidR="004E49BB">
        <w:rPr>
          <w:rFonts w:ascii="Calibri" w:eastAsia="Times New Roman" w:hAnsi="Calibri" w:cs="Calibri"/>
          <w:color w:val="000000"/>
        </w:rPr>
        <w:t xml:space="preserve">har innvilgelsesprosenten vært synkende. </w:t>
      </w:r>
    </w:p>
    <w:p w14:paraId="5FCCB2FE" w14:textId="77777777"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 </w:t>
      </w:r>
      <w:r w:rsidRPr="002A5E17">
        <w:rPr>
          <w:rFonts w:ascii="Calibri" w:eastAsia="Times New Roman" w:hAnsi="Calibri" w:cs="Calibri"/>
          <w:color w:val="000000"/>
        </w:rPr>
        <w:t> </w:t>
      </w:r>
    </w:p>
    <w:p w14:paraId="4AFBA366" w14:textId="1C87EEAE" w:rsidR="004F0F25" w:rsidRPr="002A5E17" w:rsidRDefault="004F0F25" w:rsidP="004F0F25">
      <w:pPr>
        <w:spacing w:after="0" w:line="240" w:lineRule="auto"/>
        <w:textAlignment w:val="baseline"/>
        <w:rPr>
          <w:rFonts w:ascii="Calibri" w:eastAsia="Times New Roman" w:hAnsi="Calibri" w:cs="Calibri"/>
          <w:color w:val="000000"/>
        </w:rPr>
      </w:pPr>
      <w:r w:rsidRPr="162D1FAB">
        <w:rPr>
          <w:rFonts w:ascii="Calibri" w:eastAsia="Times New Roman" w:hAnsi="Calibri" w:cs="Calibri"/>
          <w:color w:val="000000" w:themeColor="accent6"/>
        </w:rPr>
        <w:lastRenderedPageBreak/>
        <w:t>Innvilgelsesprosenten har vært høyere for kvinner enn menn. Antall søkere med utenlands</w:t>
      </w:r>
      <w:r w:rsidR="008A3778">
        <w:rPr>
          <w:rFonts w:ascii="Calibri" w:eastAsia="Times New Roman" w:hAnsi="Calibri" w:cs="Calibri"/>
          <w:color w:val="000000" w:themeColor="accent6"/>
        </w:rPr>
        <w:t>k</w:t>
      </w:r>
      <w:r w:rsidRPr="162D1FAB">
        <w:rPr>
          <w:rFonts w:ascii="Calibri" w:eastAsia="Times New Roman" w:hAnsi="Calibri" w:cs="Calibri"/>
          <w:color w:val="000000" w:themeColor="accent6"/>
        </w:rPr>
        <w:t xml:space="preserve"> bakgrunn har økt over tid, og i 2020 var det like mange søkere med utenlandsk statsborgerskap som norske som fikk stipend. En undersøkelse fra våren 2021 viste at opp mot 90</w:t>
      </w:r>
      <w:r w:rsidR="00502738" w:rsidRPr="162D1FAB">
        <w:rPr>
          <w:rFonts w:ascii="Calibri" w:eastAsia="Times New Roman" w:hAnsi="Calibri" w:cs="Calibri"/>
          <w:color w:val="000000" w:themeColor="accent6"/>
        </w:rPr>
        <w:t xml:space="preserve"> </w:t>
      </w:r>
      <w:r w:rsidR="00534B9C" w:rsidRPr="162D1FAB">
        <w:rPr>
          <w:rFonts w:ascii="Calibri" w:eastAsia="Times New Roman" w:hAnsi="Calibri" w:cs="Calibri"/>
          <w:color w:val="000000" w:themeColor="accent6"/>
        </w:rPr>
        <w:t>prosent</w:t>
      </w:r>
      <w:r w:rsidRPr="162D1FAB">
        <w:rPr>
          <w:rFonts w:ascii="Calibri" w:eastAsia="Times New Roman" w:hAnsi="Calibri" w:cs="Calibri"/>
          <w:color w:val="000000" w:themeColor="accent6"/>
        </w:rPr>
        <w:t xml:space="preserve"> av de som fikk, har opplevd å få styrket sitt internasjonale nettverk og samarbeid med </w:t>
      </w:r>
      <w:r w:rsidR="04A685F9" w:rsidRPr="162D1FAB">
        <w:rPr>
          <w:rFonts w:ascii="Calibri" w:eastAsia="Times New Roman" w:hAnsi="Calibri" w:cs="Calibri"/>
          <w:color w:val="000000" w:themeColor="accent6"/>
        </w:rPr>
        <w:t>forskere</w:t>
      </w:r>
      <w:r w:rsidRPr="162D1FAB">
        <w:rPr>
          <w:rFonts w:ascii="Calibri" w:eastAsia="Times New Roman" w:hAnsi="Calibri" w:cs="Calibri"/>
          <w:color w:val="000000" w:themeColor="accent6"/>
        </w:rPr>
        <w:t xml:space="preserve"> i utlandet</w:t>
      </w:r>
      <w:r w:rsidR="008A3778">
        <w:rPr>
          <w:rFonts w:ascii="Calibri" w:eastAsia="Times New Roman" w:hAnsi="Calibri" w:cs="Calibri"/>
          <w:color w:val="000000" w:themeColor="accent6"/>
        </w:rPr>
        <w:t>. D</w:t>
      </w:r>
      <w:r w:rsidRPr="162D1FAB">
        <w:rPr>
          <w:rFonts w:ascii="Calibri" w:eastAsia="Times New Roman" w:hAnsi="Calibri" w:cs="Calibri"/>
          <w:color w:val="000000" w:themeColor="accent6"/>
        </w:rPr>
        <w:t>e har også opplevd en positiv utvikling i rollen som uavhengig prosjektleder</w:t>
      </w:r>
      <w:r w:rsidR="000615BA" w:rsidRPr="162D1FAB">
        <w:rPr>
          <w:rFonts w:ascii="Calibri" w:eastAsia="Times New Roman" w:hAnsi="Calibri" w:cs="Calibri"/>
          <w:color w:val="000000" w:themeColor="accent6"/>
        </w:rPr>
        <w:t>, og har styrket sine karrieremuligheter.</w:t>
      </w:r>
      <w:r w:rsidRPr="162D1FAB">
        <w:rPr>
          <w:rFonts w:ascii="Calibri" w:eastAsia="Times New Roman" w:hAnsi="Calibri" w:cs="Calibri"/>
          <w:color w:val="000000" w:themeColor="accent6"/>
        </w:rPr>
        <w:t xml:space="preserve"> Funnene </w:t>
      </w:r>
      <w:r w:rsidR="00F07BC8" w:rsidRPr="162D1FAB">
        <w:rPr>
          <w:rFonts w:ascii="Calibri" w:eastAsia="Times New Roman" w:hAnsi="Calibri" w:cs="Calibri"/>
          <w:color w:val="000000" w:themeColor="accent6"/>
        </w:rPr>
        <w:t xml:space="preserve">så langt </w:t>
      </w:r>
      <w:r w:rsidRPr="162D1FAB">
        <w:rPr>
          <w:rFonts w:ascii="Calibri" w:eastAsia="Times New Roman" w:hAnsi="Calibri" w:cs="Calibri"/>
          <w:color w:val="000000" w:themeColor="accent6"/>
        </w:rPr>
        <w:t>er i samsvar med formålet med ordningen</w:t>
      </w:r>
      <w:r w:rsidR="00F07BC8" w:rsidRPr="162D1FAB">
        <w:rPr>
          <w:rFonts w:ascii="Calibri" w:eastAsia="Times New Roman" w:hAnsi="Calibri" w:cs="Calibri"/>
          <w:color w:val="000000" w:themeColor="accent6"/>
        </w:rPr>
        <w:t xml:space="preserve"> om at den skal være karrierefremmende</w:t>
      </w:r>
      <w:r w:rsidRPr="162D1FAB">
        <w:rPr>
          <w:rFonts w:ascii="Calibri" w:eastAsia="Times New Roman" w:hAnsi="Calibri" w:cs="Calibri"/>
          <w:color w:val="000000" w:themeColor="accent6"/>
        </w:rPr>
        <w:t>.  </w:t>
      </w:r>
    </w:p>
    <w:p w14:paraId="5F5B9744" w14:textId="77777777" w:rsidR="009153A9" w:rsidRDefault="009153A9" w:rsidP="004F0F25">
      <w:pPr>
        <w:spacing w:after="0" w:line="240" w:lineRule="auto"/>
        <w:textAlignment w:val="baseline"/>
        <w:rPr>
          <w:rFonts w:ascii="Calibri" w:eastAsia="Times New Roman" w:hAnsi="Calibri" w:cs="Calibri"/>
          <w:color w:val="FF0000"/>
        </w:rPr>
      </w:pPr>
    </w:p>
    <w:p w14:paraId="7F7B7D90" w14:textId="4D50FC07" w:rsidR="009153A9" w:rsidRPr="004E49BB" w:rsidRDefault="0066664B" w:rsidP="004F0F25">
      <w:pPr>
        <w:spacing w:after="0" w:line="240" w:lineRule="auto"/>
        <w:textAlignment w:val="baseline"/>
        <w:rPr>
          <w:rFonts w:ascii="Calibri" w:eastAsia="Times New Roman" w:hAnsi="Calibri" w:cs="Calibri"/>
          <w:b/>
          <w:bCs/>
          <w:i/>
          <w:iCs/>
          <w:color w:val="auto"/>
        </w:rPr>
      </w:pPr>
      <w:r w:rsidRPr="004E49BB">
        <w:rPr>
          <w:rFonts w:ascii="Calibri" w:eastAsia="Times New Roman" w:hAnsi="Calibri" w:cs="Calibri"/>
          <w:b/>
          <w:bCs/>
          <w:i/>
          <w:iCs/>
          <w:color w:val="auto"/>
        </w:rPr>
        <w:t>Samfunnsfag og humaniora har størst suksess i M</w:t>
      </w:r>
      <w:r w:rsidR="009153A9" w:rsidRPr="004E49BB">
        <w:rPr>
          <w:rFonts w:ascii="Calibri" w:eastAsia="Times New Roman" w:hAnsi="Calibri" w:cs="Calibri"/>
          <w:b/>
          <w:bCs/>
          <w:i/>
          <w:iCs/>
          <w:color w:val="auto"/>
        </w:rPr>
        <w:t>SCA</w:t>
      </w:r>
      <w:r w:rsidR="0019290B" w:rsidRPr="004E49BB">
        <w:rPr>
          <w:rFonts w:ascii="Calibri" w:eastAsia="Times New Roman" w:hAnsi="Calibri" w:cs="Calibri"/>
          <w:b/>
          <w:bCs/>
          <w:i/>
          <w:iCs/>
          <w:color w:val="auto"/>
        </w:rPr>
        <w:t>-</w:t>
      </w:r>
      <w:r w:rsidR="009153A9" w:rsidRPr="004E49BB">
        <w:rPr>
          <w:rFonts w:ascii="Calibri" w:eastAsia="Times New Roman" w:hAnsi="Calibri" w:cs="Calibri"/>
          <w:b/>
          <w:bCs/>
          <w:i/>
          <w:iCs/>
          <w:color w:val="auto"/>
        </w:rPr>
        <w:t xml:space="preserve"> Indi</w:t>
      </w:r>
      <w:r w:rsidRPr="004E49BB">
        <w:rPr>
          <w:rFonts w:ascii="Calibri" w:eastAsia="Times New Roman" w:hAnsi="Calibri" w:cs="Calibri"/>
          <w:b/>
          <w:bCs/>
          <w:i/>
          <w:iCs/>
          <w:color w:val="auto"/>
        </w:rPr>
        <w:t xml:space="preserve">vidual </w:t>
      </w:r>
      <w:r w:rsidR="009153A9" w:rsidRPr="004E49BB">
        <w:rPr>
          <w:rFonts w:ascii="Calibri" w:eastAsia="Times New Roman" w:hAnsi="Calibri" w:cs="Calibri"/>
          <w:b/>
          <w:bCs/>
          <w:i/>
          <w:iCs/>
          <w:color w:val="auto"/>
        </w:rPr>
        <w:t>fellowship</w:t>
      </w:r>
    </w:p>
    <w:p w14:paraId="17031FEE" w14:textId="25DC51F8" w:rsidR="00C44A8D" w:rsidRPr="0019290B" w:rsidRDefault="009153A9" w:rsidP="004F0F25">
      <w:pPr>
        <w:spacing w:after="0" w:line="240" w:lineRule="auto"/>
        <w:textAlignment w:val="baseline"/>
        <w:rPr>
          <w:rFonts w:ascii="Calibri" w:eastAsia="Times New Roman" w:hAnsi="Calibri" w:cs="Calibri"/>
          <w:color w:val="auto"/>
        </w:rPr>
      </w:pPr>
      <w:r w:rsidRPr="0066664B">
        <w:rPr>
          <w:rFonts w:ascii="Calibri" w:eastAsia="Times New Roman" w:hAnsi="Calibri" w:cs="Calibri"/>
          <w:color w:val="auto"/>
        </w:rPr>
        <w:t xml:space="preserve">Forskningsrådets </w:t>
      </w:r>
      <w:r w:rsidR="004E49BB" w:rsidRPr="0098075B">
        <w:rPr>
          <w:rFonts w:ascii="Calibri" w:eastAsia="Times New Roman" w:hAnsi="Calibri" w:cs="Calibri"/>
          <w:i/>
          <w:iCs/>
          <w:color w:val="000000"/>
        </w:rPr>
        <w:t>Treårig forskerprosjekt med internasjonal mobilitet</w:t>
      </w:r>
      <w:r w:rsidRPr="0066664B">
        <w:rPr>
          <w:rFonts w:ascii="Calibri" w:eastAsia="Times New Roman" w:hAnsi="Calibri" w:cs="Calibri"/>
          <w:color w:val="auto"/>
        </w:rPr>
        <w:t xml:space="preserve"> er inspirert av </w:t>
      </w:r>
      <w:r w:rsidRPr="006F5B52">
        <w:rPr>
          <w:rFonts w:ascii="Calibri" w:eastAsia="Times New Roman" w:hAnsi="Calibri" w:cs="Calibri"/>
          <w:i/>
          <w:iCs/>
          <w:color w:val="auto"/>
        </w:rPr>
        <w:t>MSCA</w:t>
      </w:r>
      <w:r w:rsidR="00C44A8D" w:rsidRPr="006F5B52">
        <w:rPr>
          <w:rFonts w:ascii="Calibri" w:eastAsia="Times New Roman" w:hAnsi="Calibri" w:cs="Calibri"/>
          <w:i/>
          <w:iCs/>
          <w:color w:val="auto"/>
        </w:rPr>
        <w:t xml:space="preserve"> </w:t>
      </w:r>
      <w:r w:rsidRPr="006F5B52">
        <w:rPr>
          <w:rFonts w:ascii="Calibri" w:eastAsia="Times New Roman" w:hAnsi="Calibri" w:cs="Calibri"/>
          <w:i/>
          <w:iCs/>
          <w:color w:val="auto"/>
        </w:rPr>
        <w:t>I</w:t>
      </w:r>
      <w:r w:rsidR="00502738" w:rsidRPr="006F5B52">
        <w:rPr>
          <w:rFonts w:ascii="Calibri" w:eastAsia="Times New Roman" w:hAnsi="Calibri" w:cs="Calibri"/>
          <w:i/>
          <w:iCs/>
          <w:color w:val="auto"/>
        </w:rPr>
        <w:t>n</w:t>
      </w:r>
      <w:r w:rsidRPr="006F5B52">
        <w:rPr>
          <w:rFonts w:ascii="Calibri" w:eastAsia="Times New Roman" w:hAnsi="Calibri" w:cs="Calibri"/>
          <w:i/>
          <w:iCs/>
          <w:color w:val="auto"/>
        </w:rPr>
        <w:t>dividual fellowship</w:t>
      </w:r>
      <w:r w:rsidR="00C44A8D" w:rsidRPr="0019290B">
        <w:rPr>
          <w:rFonts w:ascii="Calibri" w:eastAsia="Times New Roman" w:hAnsi="Calibri" w:cs="Calibri"/>
          <w:color w:val="auto"/>
        </w:rPr>
        <w:t xml:space="preserve">. Stipendet </w:t>
      </w:r>
      <w:r w:rsidRPr="0019290B">
        <w:rPr>
          <w:rFonts w:ascii="Calibri" w:eastAsia="Times New Roman" w:hAnsi="Calibri" w:cs="Calibri"/>
          <w:color w:val="auto"/>
        </w:rPr>
        <w:t>gis forskere som i hovedsak er på postdoktornivå og ordningen skal fremme mobilitet og karriereutvikling</w:t>
      </w:r>
      <w:r w:rsidR="004800ED" w:rsidRPr="0019290B">
        <w:rPr>
          <w:rFonts w:ascii="Calibri" w:eastAsia="Times New Roman" w:hAnsi="Calibri" w:cs="Calibri"/>
          <w:color w:val="auto"/>
        </w:rPr>
        <w:t xml:space="preserve">. Grunnet </w:t>
      </w:r>
      <w:r w:rsidR="00C44A8D" w:rsidRPr="0019290B">
        <w:rPr>
          <w:rFonts w:ascii="Calibri" w:eastAsia="Times New Roman" w:hAnsi="Calibri" w:cs="Calibri"/>
          <w:color w:val="auto"/>
        </w:rPr>
        <w:t>økte krav til konfidensialitet er EU-kommisjonen restriktive med å gi tilgang til persondata.</w:t>
      </w:r>
      <w:r w:rsidRPr="0019290B">
        <w:rPr>
          <w:rFonts w:ascii="Calibri" w:eastAsia="Times New Roman" w:hAnsi="Calibri" w:cs="Calibri"/>
          <w:color w:val="auto"/>
        </w:rPr>
        <w:t xml:space="preserve"> </w:t>
      </w:r>
      <w:r w:rsidR="00D06448" w:rsidRPr="0019290B">
        <w:rPr>
          <w:rFonts w:ascii="Calibri" w:eastAsia="Times New Roman" w:hAnsi="Calibri" w:cs="Calibri"/>
          <w:color w:val="auto"/>
        </w:rPr>
        <w:t>Tilgjengelig st</w:t>
      </w:r>
      <w:r w:rsidR="00C44A8D" w:rsidRPr="0019290B">
        <w:rPr>
          <w:rFonts w:ascii="Calibri" w:eastAsia="Times New Roman" w:hAnsi="Calibri" w:cs="Calibri"/>
          <w:color w:val="auto"/>
        </w:rPr>
        <w:t>atistik</w:t>
      </w:r>
      <w:r w:rsidR="00D06448" w:rsidRPr="0019290B">
        <w:rPr>
          <w:rFonts w:ascii="Calibri" w:eastAsia="Times New Roman" w:hAnsi="Calibri" w:cs="Calibri"/>
          <w:color w:val="auto"/>
        </w:rPr>
        <w:t>k</w:t>
      </w:r>
      <w:r w:rsidR="00C44A8D" w:rsidRPr="0019290B">
        <w:rPr>
          <w:rFonts w:ascii="Calibri" w:eastAsia="Times New Roman" w:hAnsi="Calibri" w:cs="Calibri"/>
          <w:color w:val="auto"/>
        </w:rPr>
        <w:t xml:space="preserve"> viser </w:t>
      </w:r>
      <w:r w:rsidR="001B31D0" w:rsidRPr="0019290B">
        <w:rPr>
          <w:rFonts w:ascii="Calibri" w:eastAsia="Times New Roman" w:hAnsi="Calibri" w:cs="Calibri"/>
          <w:color w:val="auto"/>
        </w:rPr>
        <w:t xml:space="preserve">kun </w:t>
      </w:r>
      <w:r w:rsidR="00C44A8D" w:rsidRPr="0019290B">
        <w:rPr>
          <w:rFonts w:ascii="Calibri" w:eastAsia="Times New Roman" w:hAnsi="Calibri" w:cs="Calibri"/>
          <w:color w:val="auto"/>
        </w:rPr>
        <w:t xml:space="preserve">utviklingen i </w:t>
      </w:r>
      <w:r w:rsidR="001B31D0" w:rsidRPr="0019290B">
        <w:rPr>
          <w:rFonts w:ascii="Calibri" w:eastAsia="Times New Roman" w:hAnsi="Calibri" w:cs="Calibri"/>
          <w:color w:val="auto"/>
        </w:rPr>
        <w:t xml:space="preserve">søknader og søknader </w:t>
      </w:r>
      <w:r w:rsidR="00C44A8D" w:rsidRPr="0019290B">
        <w:rPr>
          <w:rFonts w:ascii="Calibri" w:eastAsia="Times New Roman" w:hAnsi="Calibri" w:cs="Calibri"/>
          <w:color w:val="auto"/>
        </w:rPr>
        <w:t>inn</w:t>
      </w:r>
      <w:r w:rsidR="001B31D0" w:rsidRPr="0019290B">
        <w:rPr>
          <w:rFonts w:ascii="Calibri" w:eastAsia="Times New Roman" w:hAnsi="Calibri" w:cs="Calibri"/>
          <w:color w:val="auto"/>
        </w:rPr>
        <w:t>stilt til be</w:t>
      </w:r>
      <w:r w:rsidR="00C44A8D" w:rsidRPr="0019290B">
        <w:rPr>
          <w:rFonts w:ascii="Calibri" w:eastAsia="Times New Roman" w:hAnsi="Calibri" w:cs="Calibri"/>
          <w:color w:val="auto"/>
        </w:rPr>
        <w:t>vilg</w:t>
      </w:r>
      <w:r w:rsidR="001B31D0" w:rsidRPr="0019290B">
        <w:rPr>
          <w:rFonts w:ascii="Calibri" w:eastAsia="Times New Roman" w:hAnsi="Calibri" w:cs="Calibri"/>
          <w:color w:val="auto"/>
        </w:rPr>
        <w:t xml:space="preserve">ning fra </w:t>
      </w:r>
      <w:r w:rsidR="00C44A8D" w:rsidRPr="0019290B">
        <w:rPr>
          <w:rFonts w:ascii="Calibri" w:eastAsia="Times New Roman" w:hAnsi="Calibri" w:cs="Calibri"/>
          <w:color w:val="auto"/>
        </w:rPr>
        <w:t>norske vertsinstitusjoner</w:t>
      </w:r>
      <w:r w:rsidR="001B31D0" w:rsidRPr="0019290B">
        <w:rPr>
          <w:rFonts w:ascii="Calibri" w:eastAsia="Times New Roman" w:hAnsi="Calibri" w:cs="Calibri"/>
          <w:color w:val="auto"/>
        </w:rPr>
        <w:t xml:space="preserve">, </w:t>
      </w:r>
      <w:r w:rsidR="001B0E28" w:rsidRPr="0019290B">
        <w:rPr>
          <w:rFonts w:ascii="Calibri" w:eastAsia="Times New Roman" w:hAnsi="Calibri" w:cs="Calibri"/>
          <w:color w:val="auto"/>
        </w:rPr>
        <w:t xml:space="preserve">og </w:t>
      </w:r>
      <w:r w:rsidR="001B31D0" w:rsidRPr="0019290B">
        <w:rPr>
          <w:rFonts w:ascii="Calibri" w:eastAsia="Times New Roman" w:hAnsi="Calibri" w:cs="Calibri"/>
          <w:color w:val="auto"/>
        </w:rPr>
        <w:t xml:space="preserve">som rekrutterer utenlandske postdoktorer. </w:t>
      </w:r>
      <w:r w:rsidR="004800ED" w:rsidRPr="0019290B">
        <w:rPr>
          <w:rFonts w:ascii="Calibri" w:eastAsia="Times New Roman" w:hAnsi="Calibri" w:cs="Calibri"/>
          <w:color w:val="auto"/>
        </w:rPr>
        <w:t xml:space="preserve"> </w:t>
      </w:r>
    </w:p>
    <w:p w14:paraId="426116B7" w14:textId="7EE4CF08" w:rsidR="004800ED" w:rsidRPr="0019290B" w:rsidRDefault="004800ED" w:rsidP="004F0F25">
      <w:pPr>
        <w:spacing w:after="0" w:line="240" w:lineRule="auto"/>
        <w:textAlignment w:val="baseline"/>
        <w:rPr>
          <w:rFonts w:ascii="Calibri" w:eastAsia="Times New Roman" w:hAnsi="Calibri" w:cs="Calibri"/>
          <w:color w:val="auto"/>
        </w:rPr>
      </w:pPr>
    </w:p>
    <w:p w14:paraId="2AE77193" w14:textId="673802C7" w:rsidR="002F0F4B" w:rsidRPr="0019290B" w:rsidRDefault="002F0F4B" w:rsidP="004F0F25">
      <w:pPr>
        <w:spacing w:after="0" w:line="240" w:lineRule="auto"/>
        <w:textAlignment w:val="baseline"/>
        <w:rPr>
          <w:rFonts w:ascii="Calibri" w:eastAsia="Times New Roman" w:hAnsi="Calibri" w:cs="Calibri"/>
          <w:color w:val="auto"/>
          <w:sz w:val="18"/>
          <w:szCs w:val="18"/>
        </w:rPr>
      </w:pPr>
      <w:r w:rsidRPr="0019290B">
        <w:rPr>
          <w:rFonts w:ascii="Calibri" w:eastAsia="Times New Roman" w:hAnsi="Calibri" w:cs="Calibri"/>
          <w:color w:val="auto"/>
          <w:sz w:val="18"/>
          <w:szCs w:val="18"/>
        </w:rPr>
        <w:t xml:space="preserve">Figur </w:t>
      </w:r>
      <w:r w:rsidR="00F12F9B">
        <w:rPr>
          <w:rFonts w:ascii="Calibri" w:eastAsia="Times New Roman" w:hAnsi="Calibri" w:cs="Calibri"/>
          <w:color w:val="auto"/>
          <w:sz w:val="18"/>
          <w:szCs w:val="18"/>
        </w:rPr>
        <w:t>4</w:t>
      </w:r>
      <w:r w:rsidR="00DA0D93">
        <w:rPr>
          <w:rFonts w:ascii="Calibri" w:eastAsia="Times New Roman" w:hAnsi="Calibri" w:cs="Calibri"/>
          <w:color w:val="auto"/>
          <w:sz w:val="18"/>
          <w:szCs w:val="18"/>
        </w:rPr>
        <w:t xml:space="preserve">.11 og </w:t>
      </w:r>
      <w:r w:rsidR="00F12F9B">
        <w:rPr>
          <w:rFonts w:ascii="Calibri" w:eastAsia="Times New Roman" w:hAnsi="Calibri" w:cs="Calibri"/>
          <w:color w:val="auto"/>
          <w:sz w:val="18"/>
          <w:szCs w:val="18"/>
        </w:rPr>
        <w:t>4</w:t>
      </w:r>
      <w:r w:rsidR="00DA0D93">
        <w:rPr>
          <w:rFonts w:ascii="Calibri" w:eastAsia="Times New Roman" w:hAnsi="Calibri" w:cs="Calibri"/>
          <w:color w:val="auto"/>
          <w:sz w:val="18"/>
          <w:szCs w:val="18"/>
        </w:rPr>
        <w:t>.12.</w:t>
      </w:r>
      <w:r w:rsidRPr="0019290B">
        <w:rPr>
          <w:rFonts w:ascii="Calibri" w:eastAsia="Times New Roman" w:hAnsi="Calibri" w:cs="Calibri"/>
          <w:color w:val="auto"/>
          <w:sz w:val="18"/>
          <w:szCs w:val="18"/>
        </w:rPr>
        <w:t xml:space="preserve"> Antall søknader</w:t>
      </w:r>
      <w:r w:rsidR="001B31D0" w:rsidRPr="0019290B">
        <w:rPr>
          <w:rFonts w:ascii="Calibri" w:eastAsia="Times New Roman" w:hAnsi="Calibri" w:cs="Calibri"/>
          <w:color w:val="auto"/>
          <w:sz w:val="18"/>
          <w:szCs w:val="18"/>
        </w:rPr>
        <w:t xml:space="preserve"> og antall innstilt til bevilgning </w:t>
      </w:r>
      <w:r w:rsidR="00DA0D93">
        <w:rPr>
          <w:rFonts w:ascii="Calibri" w:eastAsia="Times New Roman" w:hAnsi="Calibri" w:cs="Calibri"/>
          <w:color w:val="auto"/>
          <w:sz w:val="18"/>
          <w:szCs w:val="18"/>
        </w:rPr>
        <w:t>(</w:t>
      </w:r>
      <w:r w:rsidRPr="0019290B">
        <w:rPr>
          <w:rFonts w:ascii="Calibri" w:eastAsia="Times New Roman" w:hAnsi="Calibri" w:cs="Calibri"/>
          <w:color w:val="auto"/>
          <w:sz w:val="18"/>
          <w:szCs w:val="18"/>
        </w:rPr>
        <w:t>2014-2020</w:t>
      </w:r>
      <w:r w:rsidR="00DA0D93">
        <w:rPr>
          <w:rFonts w:ascii="Calibri" w:eastAsia="Times New Roman" w:hAnsi="Calibri" w:cs="Calibri"/>
          <w:color w:val="auto"/>
          <w:sz w:val="18"/>
          <w:szCs w:val="18"/>
        </w:rPr>
        <w:t>)</w:t>
      </w:r>
      <w:r w:rsidR="00502738">
        <w:rPr>
          <w:rFonts w:ascii="Calibri" w:eastAsia="Times New Roman" w:hAnsi="Calibri" w:cs="Calibri"/>
          <w:color w:val="auto"/>
          <w:sz w:val="18"/>
          <w:szCs w:val="18"/>
        </w:rPr>
        <w:t>.</w:t>
      </w:r>
    </w:p>
    <w:p w14:paraId="7AC56EF3" w14:textId="418183E3" w:rsidR="004800ED" w:rsidRPr="0019290B" w:rsidRDefault="004800ED" w:rsidP="004F0F25">
      <w:pPr>
        <w:spacing w:after="0" w:line="240" w:lineRule="auto"/>
        <w:textAlignment w:val="baseline"/>
        <w:rPr>
          <w:rFonts w:ascii="Calibri" w:eastAsia="Times New Roman" w:hAnsi="Calibri" w:cs="Calibri"/>
          <w:color w:val="auto"/>
        </w:rPr>
      </w:pPr>
      <w:r w:rsidRPr="0019290B">
        <w:rPr>
          <w:noProof/>
          <w:color w:val="auto"/>
        </w:rPr>
        <w:drawing>
          <wp:inline distT="0" distB="0" distL="0" distR="0" wp14:anchorId="4F8C23B2" wp14:editId="4ABF623F">
            <wp:extent cx="2733152" cy="2692400"/>
            <wp:effectExtent l="0" t="0" r="10160" b="12700"/>
            <wp:docPr id="14" name="Diagram 14">
              <a:extLst xmlns:a="http://schemas.openxmlformats.org/drawingml/2006/main">
                <a:ext uri="{FF2B5EF4-FFF2-40B4-BE49-F238E27FC236}">
                  <a16:creationId xmlns:a16="http://schemas.microsoft.com/office/drawing/2014/main" id="{F4508DFD-2AE1-4034-A1EF-123B5D432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F0F4B" w:rsidRPr="0019290B">
        <w:rPr>
          <w:noProof/>
          <w:color w:val="auto"/>
        </w:rPr>
        <w:t xml:space="preserve"> </w:t>
      </w:r>
      <w:r w:rsidR="002F0F4B" w:rsidRPr="0019290B">
        <w:rPr>
          <w:noProof/>
          <w:color w:val="auto"/>
        </w:rPr>
        <w:drawing>
          <wp:inline distT="0" distB="0" distL="0" distR="0" wp14:anchorId="33A2E47B" wp14:editId="19DBB1BB">
            <wp:extent cx="2863780" cy="2711450"/>
            <wp:effectExtent l="0" t="0" r="13335" b="12700"/>
            <wp:docPr id="18" name="Diagram 18">
              <a:extLst xmlns:a="http://schemas.openxmlformats.org/drawingml/2006/main">
                <a:ext uri="{FF2B5EF4-FFF2-40B4-BE49-F238E27FC236}">
                  <a16:creationId xmlns:a16="http://schemas.microsoft.com/office/drawing/2014/main" id="{2352FAD1-5749-4320-84A4-78FEEDF66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941B1A" w14:textId="366CB7CC" w:rsidR="004800ED" w:rsidRPr="0019290B" w:rsidRDefault="004800ED" w:rsidP="004F0F25">
      <w:pPr>
        <w:spacing w:after="0" w:line="240" w:lineRule="auto"/>
        <w:textAlignment w:val="baseline"/>
        <w:rPr>
          <w:rFonts w:ascii="Calibri" w:eastAsia="Times New Roman" w:hAnsi="Calibri" w:cs="Calibri"/>
          <w:i/>
          <w:iCs/>
          <w:color w:val="auto"/>
          <w:sz w:val="18"/>
          <w:szCs w:val="18"/>
        </w:rPr>
      </w:pPr>
      <w:r w:rsidRPr="0019290B">
        <w:rPr>
          <w:rFonts w:ascii="Calibri" w:eastAsia="Times New Roman" w:hAnsi="Calibri" w:cs="Calibri"/>
          <w:i/>
          <w:iCs/>
          <w:color w:val="auto"/>
          <w:sz w:val="18"/>
          <w:szCs w:val="18"/>
        </w:rPr>
        <w:t>Kilde: Forskningsrådet</w:t>
      </w:r>
      <w:r w:rsidR="00BC6969">
        <w:rPr>
          <w:rFonts w:ascii="Calibri" w:eastAsia="Times New Roman" w:hAnsi="Calibri" w:cs="Calibri"/>
          <w:i/>
          <w:iCs/>
          <w:color w:val="auto"/>
          <w:sz w:val="18"/>
          <w:szCs w:val="18"/>
        </w:rPr>
        <w:t>.</w:t>
      </w:r>
    </w:p>
    <w:p w14:paraId="751A6DAF" w14:textId="2AFF79D0" w:rsidR="004800ED" w:rsidRPr="0019290B" w:rsidRDefault="004800ED" w:rsidP="004F0F25">
      <w:pPr>
        <w:spacing w:after="0" w:line="240" w:lineRule="auto"/>
        <w:textAlignment w:val="baseline"/>
        <w:rPr>
          <w:rFonts w:ascii="Calibri" w:eastAsia="Times New Roman" w:hAnsi="Calibri" w:cs="Calibri"/>
          <w:color w:val="auto"/>
        </w:rPr>
      </w:pPr>
    </w:p>
    <w:p w14:paraId="25F0E7AC" w14:textId="7CFA3863" w:rsidR="004800ED" w:rsidRPr="0019290B" w:rsidRDefault="004800ED" w:rsidP="004F0F25">
      <w:pPr>
        <w:spacing w:after="0" w:line="240" w:lineRule="auto"/>
        <w:textAlignment w:val="baseline"/>
        <w:rPr>
          <w:rFonts w:ascii="Calibri" w:eastAsia="Times New Roman" w:hAnsi="Calibri" w:cs="Calibri"/>
          <w:color w:val="auto"/>
        </w:rPr>
      </w:pPr>
      <w:r w:rsidRPr="0019290B">
        <w:rPr>
          <w:rFonts w:ascii="Calibri" w:eastAsia="Times New Roman" w:hAnsi="Calibri" w:cs="Calibri"/>
          <w:color w:val="auto"/>
        </w:rPr>
        <w:t>Antallet søknader fra norske forskningsins</w:t>
      </w:r>
      <w:r w:rsidR="002F0F4B" w:rsidRPr="0019290B">
        <w:rPr>
          <w:rFonts w:ascii="Calibri" w:eastAsia="Times New Roman" w:hAnsi="Calibri" w:cs="Calibri"/>
          <w:color w:val="auto"/>
        </w:rPr>
        <w:t>titusjoner</w:t>
      </w:r>
      <w:r w:rsidRPr="0019290B">
        <w:rPr>
          <w:rFonts w:ascii="Calibri" w:eastAsia="Times New Roman" w:hAnsi="Calibri" w:cs="Calibri"/>
          <w:color w:val="auto"/>
        </w:rPr>
        <w:t xml:space="preserve"> </w:t>
      </w:r>
      <w:r w:rsidR="002F0F4B" w:rsidRPr="0019290B">
        <w:rPr>
          <w:rFonts w:ascii="Calibri" w:eastAsia="Times New Roman" w:hAnsi="Calibri" w:cs="Calibri"/>
          <w:color w:val="auto"/>
        </w:rPr>
        <w:t xml:space="preserve">har </w:t>
      </w:r>
      <w:r w:rsidRPr="0019290B">
        <w:rPr>
          <w:rFonts w:ascii="Calibri" w:eastAsia="Times New Roman" w:hAnsi="Calibri" w:cs="Calibri"/>
          <w:color w:val="auto"/>
        </w:rPr>
        <w:t>hatt en jevn økning fra 85 søknader i 2014 til 316 søknader i 2020</w:t>
      </w:r>
      <w:r w:rsidRPr="0019290B">
        <w:rPr>
          <w:rStyle w:val="Fotnotereferanse"/>
          <w:rFonts w:ascii="Calibri" w:eastAsia="Times New Roman" w:hAnsi="Calibri" w:cs="Calibri"/>
          <w:color w:val="auto"/>
        </w:rPr>
        <w:footnoteReference w:id="17"/>
      </w:r>
      <w:r w:rsidRPr="0019290B">
        <w:rPr>
          <w:rFonts w:ascii="Calibri" w:eastAsia="Times New Roman" w:hAnsi="Calibri" w:cs="Calibri"/>
          <w:color w:val="auto"/>
        </w:rPr>
        <w:t>.</w:t>
      </w:r>
      <w:r w:rsidR="002F0F4B" w:rsidRPr="0019290B">
        <w:rPr>
          <w:rFonts w:ascii="Calibri" w:eastAsia="Times New Roman" w:hAnsi="Calibri" w:cs="Calibri"/>
          <w:color w:val="auto"/>
        </w:rPr>
        <w:t xml:space="preserve"> </w:t>
      </w:r>
    </w:p>
    <w:p w14:paraId="26523BBB" w14:textId="3C51FEBE" w:rsidR="002F0F4B" w:rsidRPr="0019290B" w:rsidRDefault="002F0F4B" w:rsidP="004F0F25">
      <w:pPr>
        <w:spacing w:after="0" w:line="240" w:lineRule="auto"/>
        <w:textAlignment w:val="baseline"/>
        <w:rPr>
          <w:rFonts w:ascii="Calibri" w:eastAsia="Times New Roman" w:hAnsi="Calibri" w:cs="Calibri"/>
          <w:color w:val="auto"/>
        </w:rPr>
      </w:pPr>
    </w:p>
    <w:p w14:paraId="44ABB7A9" w14:textId="48AC6AF1" w:rsidR="009153A9" w:rsidRPr="009153A9" w:rsidRDefault="001B31D0" w:rsidP="00ED20AD">
      <w:pPr>
        <w:spacing w:after="0" w:line="240" w:lineRule="auto"/>
        <w:textAlignment w:val="baseline"/>
        <w:rPr>
          <w:rFonts w:ascii="Calibri" w:eastAsia="Times New Roman" w:hAnsi="Calibri" w:cs="Calibri"/>
          <w:b/>
          <w:bCs/>
          <w:i/>
          <w:iCs/>
          <w:color w:val="auto"/>
        </w:rPr>
      </w:pPr>
      <w:r w:rsidRPr="0019290B">
        <w:rPr>
          <w:rFonts w:ascii="Calibri" w:eastAsia="Times New Roman" w:hAnsi="Calibri" w:cs="Calibri"/>
          <w:color w:val="auto"/>
        </w:rPr>
        <w:t>Samfunnsfag og humaniora utgjør den største norske søknadsmassen, og er også området med størst suksess</w:t>
      </w:r>
      <w:r w:rsidR="001B0E28" w:rsidRPr="0019290B">
        <w:rPr>
          <w:rFonts w:ascii="Calibri" w:eastAsia="Times New Roman" w:hAnsi="Calibri" w:cs="Calibri"/>
          <w:color w:val="auto"/>
        </w:rPr>
        <w:t xml:space="preserve">. Sammenliknet med </w:t>
      </w:r>
      <w:r w:rsidR="004E49BB">
        <w:rPr>
          <w:rFonts w:ascii="Calibri" w:eastAsia="Times New Roman" w:hAnsi="Calibri" w:cs="Calibri"/>
          <w:color w:val="auto"/>
        </w:rPr>
        <w:t xml:space="preserve">totalt antall </w:t>
      </w:r>
      <w:r w:rsidR="001B0E28" w:rsidRPr="0019290B">
        <w:rPr>
          <w:rFonts w:ascii="Calibri" w:eastAsia="Times New Roman" w:hAnsi="Calibri" w:cs="Calibri"/>
          <w:color w:val="auto"/>
        </w:rPr>
        <w:t>søknader til MSCA (se vedlegg) er andelen norske søknader fra kjemi og fysikk l</w:t>
      </w:r>
      <w:r w:rsidR="004E49BB">
        <w:rPr>
          <w:rFonts w:ascii="Calibri" w:eastAsia="Times New Roman" w:hAnsi="Calibri" w:cs="Calibri"/>
          <w:color w:val="auto"/>
        </w:rPr>
        <w:t>av</w:t>
      </w:r>
      <w:r w:rsidR="001B0E28" w:rsidRPr="0019290B">
        <w:rPr>
          <w:rFonts w:ascii="Calibri" w:eastAsia="Times New Roman" w:hAnsi="Calibri" w:cs="Calibri"/>
          <w:color w:val="auto"/>
        </w:rPr>
        <w:t xml:space="preserve">, og andelen innstilt til finansiering enda mindre. </w:t>
      </w:r>
      <w:r w:rsidR="0066664B" w:rsidRPr="0019290B">
        <w:rPr>
          <w:color w:val="auto"/>
        </w:rPr>
        <w:t xml:space="preserve">Den norske andelen søknader til </w:t>
      </w:r>
      <w:r w:rsidR="00502738">
        <w:rPr>
          <w:color w:val="auto"/>
        </w:rPr>
        <w:t xml:space="preserve">panelet </w:t>
      </w:r>
      <w:r w:rsidR="0066664B" w:rsidRPr="00E22218">
        <w:rPr>
          <w:i/>
          <w:iCs/>
          <w:color w:val="auto"/>
        </w:rPr>
        <w:t>Env</w:t>
      </w:r>
      <w:r w:rsidR="001B0E28" w:rsidRPr="00E22218">
        <w:rPr>
          <w:i/>
          <w:iCs/>
          <w:color w:val="auto"/>
        </w:rPr>
        <w:t>ironmental and geosciences</w:t>
      </w:r>
      <w:r w:rsidR="0066664B" w:rsidRPr="00E22218">
        <w:rPr>
          <w:i/>
          <w:iCs/>
          <w:color w:val="auto"/>
        </w:rPr>
        <w:t>,</w:t>
      </w:r>
      <w:r w:rsidR="0066664B" w:rsidRPr="0019290B">
        <w:rPr>
          <w:color w:val="auto"/>
        </w:rPr>
        <w:t xml:space="preserve"> er større enn fra EU-land</w:t>
      </w:r>
      <w:r w:rsidR="00DF6746">
        <w:rPr>
          <w:color w:val="auto"/>
        </w:rPr>
        <w:t>ene</w:t>
      </w:r>
      <w:r w:rsidR="0066664B" w:rsidRPr="0019290B">
        <w:rPr>
          <w:color w:val="auto"/>
        </w:rPr>
        <w:t xml:space="preserve"> totalt. </w:t>
      </w:r>
      <w:r w:rsidR="001B0E28" w:rsidRPr="0019290B">
        <w:rPr>
          <w:color w:val="auto"/>
        </w:rPr>
        <w:t>For de andre panelene er tallene små og resultatene variable uten en klar trend.</w:t>
      </w:r>
    </w:p>
    <w:p w14:paraId="3063A07A" w14:textId="77777777" w:rsidR="007E5B3F" w:rsidRDefault="007E5B3F">
      <w:pPr>
        <w:spacing w:after="200" w:line="276" w:lineRule="auto"/>
        <w:rPr>
          <w:rFonts w:ascii="Calibri" w:eastAsia="Times New Roman" w:hAnsi="Calibri" w:cs="Calibri"/>
          <w:b/>
          <w:bCs/>
          <w:i/>
          <w:iCs/>
          <w:color w:val="auto"/>
        </w:rPr>
      </w:pPr>
      <w:r>
        <w:rPr>
          <w:rFonts w:ascii="Calibri" w:eastAsia="Times New Roman" w:hAnsi="Calibri" w:cs="Calibri"/>
          <w:b/>
          <w:bCs/>
          <w:i/>
          <w:iCs/>
          <w:color w:val="auto"/>
        </w:rPr>
        <w:br w:type="page"/>
      </w:r>
    </w:p>
    <w:p w14:paraId="2CD43F38" w14:textId="00434967" w:rsidR="00ED20AD" w:rsidRDefault="00ED20AD" w:rsidP="00ED20AD">
      <w:pPr>
        <w:spacing w:after="0" w:line="240" w:lineRule="auto"/>
        <w:textAlignment w:val="baseline"/>
        <w:rPr>
          <w:rFonts w:ascii="Calibri" w:eastAsia="Times New Roman" w:hAnsi="Calibri" w:cs="Calibri"/>
          <w:b/>
          <w:bCs/>
          <w:i/>
          <w:iCs/>
          <w:color w:val="auto"/>
        </w:rPr>
      </w:pPr>
      <w:r w:rsidRPr="008E0622">
        <w:rPr>
          <w:rFonts w:ascii="Calibri" w:eastAsia="Times New Roman" w:hAnsi="Calibri" w:cs="Calibri"/>
          <w:b/>
          <w:bCs/>
          <w:i/>
          <w:iCs/>
          <w:color w:val="auto"/>
        </w:rPr>
        <w:lastRenderedPageBreak/>
        <w:t>Karrierefremmende å motta støtte fra Unge forskertalenter</w:t>
      </w:r>
    </w:p>
    <w:p w14:paraId="488C4E3B" w14:textId="77777777" w:rsidR="00C172B1" w:rsidRDefault="00C172B1" w:rsidP="00A24770">
      <w:pPr>
        <w:spacing w:after="0" w:line="240" w:lineRule="auto"/>
        <w:textAlignment w:val="baseline"/>
        <w:rPr>
          <w:rFonts w:ascii="Calibri" w:eastAsia="Times New Roman" w:hAnsi="Calibri" w:cs="Calibri"/>
          <w:color w:val="000000" w:themeColor="accent6"/>
          <w:sz w:val="18"/>
          <w:szCs w:val="18"/>
        </w:rPr>
      </w:pPr>
    </w:p>
    <w:p w14:paraId="21B89567" w14:textId="3DCC19B6" w:rsidR="00A24770" w:rsidRPr="00B77DF5" w:rsidRDefault="00A24770" w:rsidP="00A24770">
      <w:pPr>
        <w:spacing w:after="0" w:line="240" w:lineRule="auto"/>
        <w:textAlignment w:val="baseline"/>
        <w:rPr>
          <w:rFonts w:ascii="Calibri" w:eastAsia="Times New Roman" w:hAnsi="Calibri" w:cs="Calibri"/>
          <w:color w:val="000000" w:themeColor="accent6"/>
          <w:sz w:val="18"/>
          <w:szCs w:val="18"/>
        </w:rPr>
      </w:pPr>
      <w:r w:rsidRPr="00B77DF5">
        <w:rPr>
          <w:rFonts w:ascii="Calibri" w:eastAsia="Times New Roman" w:hAnsi="Calibri" w:cs="Calibri"/>
          <w:color w:val="000000" w:themeColor="accent6"/>
          <w:sz w:val="18"/>
          <w:szCs w:val="18"/>
        </w:rPr>
        <w:t>Figur</w:t>
      </w:r>
      <w:r w:rsidR="0090180D">
        <w:rPr>
          <w:rFonts w:ascii="Calibri" w:eastAsia="Times New Roman" w:hAnsi="Calibri" w:cs="Calibri"/>
          <w:color w:val="000000" w:themeColor="accent6"/>
          <w:sz w:val="18"/>
          <w:szCs w:val="18"/>
        </w:rPr>
        <w:t xml:space="preserve"> </w:t>
      </w:r>
      <w:r w:rsidR="00F12F9B">
        <w:rPr>
          <w:rFonts w:ascii="Calibri" w:eastAsia="Times New Roman" w:hAnsi="Calibri" w:cs="Calibri"/>
          <w:color w:val="000000" w:themeColor="accent6"/>
          <w:sz w:val="18"/>
          <w:szCs w:val="18"/>
        </w:rPr>
        <w:t>4</w:t>
      </w:r>
      <w:r w:rsidR="0090180D">
        <w:rPr>
          <w:rFonts w:ascii="Calibri" w:eastAsia="Times New Roman" w:hAnsi="Calibri" w:cs="Calibri"/>
          <w:color w:val="000000" w:themeColor="accent6"/>
          <w:sz w:val="18"/>
          <w:szCs w:val="18"/>
        </w:rPr>
        <w:t>.</w:t>
      </w:r>
      <w:r w:rsidR="00DA0D93">
        <w:rPr>
          <w:rFonts w:ascii="Calibri" w:eastAsia="Times New Roman" w:hAnsi="Calibri" w:cs="Calibri"/>
          <w:color w:val="000000" w:themeColor="accent6"/>
          <w:sz w:val="18"/>
          <w:szCs w:val="18"/>
        </w:rPr>
        <w:t>13</w:t>
      </w:r>
      <w:r>
        <w:rPr>
          <w:rFonts w:ascii="Calibri" w:eastAsia="Times New Roman" w:hAnsi="Calibri" w:cs="Calibri"/>
          <w:color w:val="000000" w:themeColor="accent6"/>
          <w:sz w:val="18"/>
          <w:szCs w:val="18"/>
        </w:rPr>
        <w:t xml:space="preserve"> Antall søknader bevilget, antall avslag og innvilgelsesprosent per år </w:t>
      </w:r>
      <w:r w:rsidR="00DA0D93">
        <w:rPr>
          <w:rFonts w:ascii="Calibri" w:eastAsia="Times New Roman" w:hAnsi="Calibri" w:cs="Calibri"/>
          <w:color w:val="000000" w:themeColor="accent6"/>
          <w:sz w:val="18"/>
          <w:szCs w:val="18"/>
        </w:rPr>
        <w:t>(</w:t>
      </w:r>
      <w:r>
        <w:rPr>
          <w:rFonts w:ascii="Calibri" w:eastAsia="Times New Roman" w:hAnsi="Calibri" w:cs="Calibri"/>
          <w:color w:val="000000" w:themeColor="accent6"/>
          <w:sz w:val="18"/>
          <w:szCs w:val="18"/>
        </w:rPr>
        <w:t>201</w:t>
      </w:r>
      <w:r w:rsidR="009037F6">
        <w:rPr>
          <w:rFonts w:ascii="Calibri" w:eastAsia="Times New Roman" w:hAnsi="Calibri" w:cs="Calibri"/>
          <w:color w:val="000000" w:themeColor="accent6"/>
          <w:sz w:val="18"/>
          <w:szCs w:val="18"/>
        </w:rPr>
        <w:t>3</w:t>
      </w:r>
      <w:r>
        <w:rPr>
          <w:rFonts w:ascii="Calibri" w:eastAsia="Times New Roman" w:hAnsi="Calibri" w:cs="Calibri"/>
          <w:color w:val="000000" w:themeColor="accent6"/>
          <w:sz w:val="18"/>
          <w:szCs w:val="18"/>
        </w:rPr>
        <w:t>-2021</w:t>
      </w:r>
      <w:r w:rsidR="00DA0D93">
        <w:rPr>
          <w:rFonts w:ascii="Calibri" w:eastAsia="Times New Roman" w:hAnsi="Calibri" w:cs="Calibri"/>
          <w:color w:val="000000" w:themeColor="accent6"/>
          <w:sz w:val="18"/>
          <w:szCs w:val="18"/>
        </w:rPr>
        <w:t>)</w:t>
      </w:r>
      <w:r w:rsidR="00502738">
        <w:rPr>
          <w:rFonts w:ascii="Calibri" w:eastAsia="Times New Roman" w:hAnsi="Calibri" w:cs="Calibri"/>
          <w:color w:val="000000" w:themeColor="accent6"/>
          <w:sz w:val="18"/>
          <w:szCs w:val="18"/>
        </w:rPr>
        <w:t>.</w:t>
      </w:r>
    </w:p>
    <w:p w14:paraId="28D37095" w14:textId="77777777" w:rsidR="00E22218" w:rsidRDefault="00E22218" w:rsidP="00DA0D93">
      <w:pPr>
        <w:spacing w:after="0" w:line="240" w:lineRule="auto"/>
        <w:textAlignment w:val="baseline"/>
        <w:rPr>
          <w:rFonts w:ascii="Calibri" w:eastAsia="Times New Roman" w:hAnsi="Calibri" w:cs="Calibri"/>
          <w:color w:val="000000" w:themeColor="accent6"/>
          <w:sz w:val="18"/>
          <w:szCs w:val="18"/>
        </w:rPr>
      </w:pPr>
      <w:r>
        <w:rPr>
          <w:noProof/>
        </w:rPr>
        <w:drawing>
          <wp:inline distT="0" distB="0" distL="0" distR="0" wp14:anchorId="02C07367" wp14:editId="5BBB501E">
            <wp:extent cx="5704840" cy="3235960"/>
            <wp:effectExtent l="0" t="0" r="10160" b="2540"/>
            <wp:docPr id="5" name="Diagram 5">
              <a:extLst xmlns:a="http://schemas.openxmlformats.org/drawingml/2006/main">
                <a:ext uri="{FF2B5EF4-FFF2-40B4-BE49-F238E27FC236}">
                  <a16:creationId xmlns:a16="http://schemas.microsoft.com/office/drawing/2014/main" id="{B9070A5F-8E39-4149-BADB-F33CBF52CD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3BD6CA" w14:textId="338FA5AB" w:rsidR="00DA0D93" w:rsidRDefault="00DA0D93" w:rsidP="00DA0D93">
      <w:pPr>
        <w:spacing w:after="0" w:line="240" w:lineRule="auto"/>
        <w:textAlignment w:val="baseline"/>
        <w:rPr>
          <w:rFonts w:ascii="Calibri" w:eastAsia="Times New Roman" w:hAnsi="Calibri" w:cs="Calibri"/>
          <w:color w:val="000000" w:themeColor="accent6"/>
        </w:rPr>
      </w:pPr>
      <w:r w:rsidRPr="00A47159">
        <w:rPr>
          <w:rFonts w:ascii="Calibri" w:eastAsia="Times New Roman" w:hAnsi="Calibri" w:cs="Calibri"/>
          <w:color w:val="000000" w:themeColor="accent6"/>
          <w:sz w:val="18"/>
          <w:szCs w:val="18"/>
        </w:rPr>
        <w:t>Kilde: Forskningsrådet.</w:t>
      </w:r>
    </w:p>
    <w:p w14:paraId="1C51AE63" w14:textId="77777777" w:rsidR="00D36B39" w:rsidRDefault="00D36B39" w:rsidP="00D36B39">
      <w:pPr>
        <w:spacing w:after="0"/>
        <w:rPr>
          <w:i/>
          <w:iCs/>
        </w:rPr>
      </w:pPr>
    </w:p>
    <w:p w14:paraId="7CF19338" w14:textId="69B65150" w:rsidR="00ED20AD" w:rsidRDefault="00ED20AD" w:rsidP="00ED20AD">
      <w:r w:rsidRPr="00725107">
        <w:rPr>
          <w:i/>
          <w:iCs/>
        </w:rPr>
        <w:t>Unge fors</w:t>
      </w:r>
      <w:r>
        <w:rPr>
          <w:i/>
          <w:iCs/>
        </w:rPr>
        <w:t>k</w:t>
      </w:r>
      <w:r w:rsidRPr="00725107">
        <w:rPr>
          <w:i/>
          <w:iCs/>
        </w:rPr>
        <w:t>etalenter</w:t>
      </w:r>
      <w:r>
        <w:t xml:space="preserve"> er en søknadstype under </w:t>
      </w:r>
      <w:r w:rsidRPr="00725107">
        <w:rPr>
          <w:i/>
          <w:iCs/>
        </w:rPr>
        <w:t>Forskerp</w:t>
      </w:r>
      <w:r>
        <w:rPr>
          <w:i/>
          <w:iCs/>
        </w:rPr>
        <w:t>r</w:t>
      </w:r>
      <w:r w:rsidRPr="00725107">
        <w:rPr>
          <w:i/>
          <w:iCs/>
        </w:rPr>
        <w:t>osjekt for fornyelse.</w:t>
      </w:r>
      <w:r>
        <w:t xml:space="preserve"> En g</w:t>
      </w:r>
      <w:r w:rsidRPr="00A33B5E">
        <w:t xml:space="preserve">jennomgang av </w:t>
      </w:r>
      <w:r>
        <w:t>søknadstypen</w:t>
      </w:r>
      <w:r w:rsidRPr="004C7640">
        <w:rPr>
          <w:i/>
          <w:iCs/>
        </w:rPr>
        <w:t xml:space="preserve"> </w:t>
      </w:r>
      <w:r w:rsidRPr="00A33B5E">
        <w:t>i perioden 2013-2018</w:t>
      </w:r>
      <w:r>
        <w:rPr>
          <w:rStyle w:val="Fotnotereferanse"/>
        </w:rPr>
        <w:footnoteReference w:id="18"/>
      </w:r>
      <w:r>
        <w:t xml:space="preserve"> viste at de </w:t>
      </w:r>
      <w:r w:rsidRPr="79E397BC">
        <w:t xml:space="preserve">som </w:t>
      </w:r>
      <w:r>
        <w:t xml:space="preserve">mottok støtte </w:t>
      </w:r>
      <w:r w:rsidRPr="79E397BC">
        <w:t>ha</w:t>
      </w:r>
      <w:r>
        <w:t>dde</w:t>
      </w:r>
      <w:r w:rsidRPr="79E397BC">
        <w:t xml:space="preserve"> veiledet flere doktorgradsstipendiater og postdoktorer opparbeidet seg større forskningsgrupper</w:t>
      </w:r>
      <w:r w:rsidR="00E22218">
        <w:t xml:space="preserve">, og at </w:t>
      </w:r>
      <w:r w:rsidR="00E22218" w:rsidDel="008D1F07">
        <w:t xml:space="preserve">en </w:t>
      </w:r>
      <w:r w:rsidR="008D1F07" w:rsidRPr="79E397BC">
        <w:t>større</w:t>
      </w:r>
      <w:r w:rsidRPr="79E397BC">
        <w:t xml:space="preserve"> andel av dem har blitt professor enn søkere med avslag. </w:t>
      </w:r>
      <w:r>
        <w:t>B</w:t>
      </w:r>
      <w:r w:rsidRPr="79E397BC">
        <w:t>lant de som h</w:t>
      </w:r>
      <w:r>
        <w:t xml:space="preserve">adde </w:t>
      </w:r>
      <w:r w:rsidRPr="79E397BC">
        <w:t>fått</w:t>
      </w:r>
      <w:r>
        <w:t xml:space="preserve"> bevilgning</w:t>
      </w:r>
      <w:r w:rsidRPr="79E397BC">
        <w:t xml:space="preserve"> </w:t>
      </w:r>
      <w:r>
        <w:t xml:space="preserve">var det også </w:t>
      </w:r>
      <w:r w:rsidRPr="79E397BC">
        <w:t xml:space="preserve">en økning i antall søknader til og innvilgelse av støtte i </w:t>
      </w:r>
      <w:r w:rsidRPr="000615BA">
        <w:rPr>
          <w:i/>
          <w:iCs/>
        </w:rPr>
        <w:t>European Research Council</w:t>
      </w:r>
      <w:r>
        <w:t xml:space="preserve"> </w:t>
      </w:r>
      <w:r w:rsidRPr="79E397BC">
        <w:t>(ERC)</w:t>
      </w:r>
      <w:r>
        <w:t>. D</w:t>
      </w:r>
      <w:r w:rsidRPr="79E397BC">
        <w:t>isse</w:t>
      </w:r>
      <w:r>
        <w:t xml:space="preserve"> utgjorde</w:t>
      </w:r>
      <w:r w:rsidRPr="79E397BC">
        <w:t xml:space="preserve"> også en økende andel av de som søk</w:t>
      </w:r>
      <w:r>
        <w:t>te</w:t>
      </w:r>
      <w:r w:rsidRPr="79E397BC">
        <w:t xml:space="preserve"> og f</w:t>
      </w:r>
      <w:r>
        <w:t>ikk</w:t>
      </w:r>
      <w:r w:rsidRPr="79E397BC">
        <w:t xml:space="preserve"> innvilget </w:t>
      </w:r>
      <w:r w:rsidRPr="004C7640">
        <w:rPr>
          <w:i/>
          <w:iCs/>
        </w:rPr>
        <w:t>ERC Starting Grant</w:t>
      </w:r>
      <w:r w:rsidRPr="79E397BC">
        <w:t xml:space="preserve"> og </w:t>
      </w:r>
      <w:r w:rsidRPr="004C7640">
        <w:rPr>
          <w:i/>
          <w:iCs/>
        </w:rPr>
        <w:t>Consolidator Grant</w:t>
      </w:r>
      <w:r w:rsidRPr="79E397BC">
        <w:t>. De f</w:t>
      </w:r>
      <w:r>
        <w:t>ikk</w:t>
      </w:r>
      <w:r w:rsidRPr="79E397BC">
        <w:t xml:space="preserve"> høyere karakterer og nå</w:t>
      </w:r>
      <w:r>
        <w:t>dde</w:t>
      </w:r>
      <w:r w:rsidRPr="79E397BC">
        <w:t xml:space="preserve"> lengre i ERC-søknadsprosessen sammenlignet med</w:t>
      </w:r>
      <w:r>
        <w:t xml:space="preserve"> </w:t>
      </w:r>
      <w:r w:rsidRPr="79E397BC">
        <w:t>søkerne som fikk avslag.</w:t>
      </w:r>
      <w:r>
        <w:t xml:space="preserve"> Det var med andre ord tendenser til </w:t>
      </w:r>
      <w:r w:rsidRPr="79E397BC">
        <w:t>at ordningen ha</w:t>
      </w:r>
      <w:r>
        <w:t xml:space="preserve">dde </w:t>
      </w:r>
      <w:r w:rsidRPr="79E397BC">
        <w:t xml:space="preserve">effekt, men siden undersøkelsen </w:t>
      </w:r>
      <w:r>
        <w:t xml:space="preserve">ble </w:t>
      </w:r>
      <w:r w:rsidRPr="79E397BC">
        <w:t>gjennomfør</w:t>
      </w:r>
      <w:r>
        <w:t>t</w:t>
      </w:r>
      <w:r w:rsidRPr="79E397BC">
        <w:t xml:space="preserve"> relativt kort tid etter at de mottok</w:t>
      </w:r>
      <w:r>
        <w:t xml:space="preserve"> </w:t>
      </w:r>
      <w:r w:rsidRPr="79E397BC">
        <w:t xml:space="preserve">bevilgningen (ett til seks år etter) </w:t>
      </w:r>
      <w:r>
        <w:t>var</w:t>
      </w:r>
      <w:r w:rsidRPr="79E397BC">
        <w:t xml:space="preserve"> det for tidlig å se full effekt av ordningen.</w:t>
      </w:r>
      <w:r>
        <w:t xml:space="preserve"> </w:t>
      </w:r>
    </w:p>
    <w:p w14:paraId="74155003" w14:textId="604E6972" w:rsidR="0078645F" w:rsidRDefault="00AC4258" w:rsidP="004F0F2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w:t>
      </w:r>
      <w:r w:rsidR="00A24770">
        <w:rPr>
          <w:rFonts w:ascii="Calibri" w:eastAsia="Times New Roman" w:hAnsi="Calibri" w:cs="Calibri"/>
          <w:color w:val="000000"/>
        </w:rPr>
        <w:t>nnvilgelsesprosenten var 18-20 prosent de tre første årene</w:t>
      </w:r>
      <w:r w:rsidR="0090012F">
        <w:rPr>
          <w:rFonts w:ascii="Calibri" w:eastAsia="Times New Roman" w:hAnsi="Calibri" w:cs="Calibri"/>
          <w:color w:val="000000"/>
        </w:rPr>
        <w:t xml:space="preserve"> etter at ordningen ble opprettet</w:t>
      </w:r>
      <w:r w:rsidR="00F177E8">
        <w:rPr>
          <w:rFonts w:ascii="Calibri" w:eastAsia="Times New Roman" w:hAnsi="Calibri" w:cs="Calibri"/>
          <w:color w:val="000000"/>
        </w:rPr>
        <w:t xml:space="preserve">. Etter dette har </w:t>
      </w:r>
      <w:r w:rsidR="00A24770">
        <w:rPr>
          <w:rFonts w:ascii="Calibri" w:eastAsia="Times New Roman" w:hAnsi="Calibri" w:cs="Calibri"/>
          <w:color w:val="000000"/>
        </w:rPr>
        <w:t>innvilgelsesprosent vært synkende</w:t>
      </w:r>
      <w:r w:rsidR="0090012F">
        <w:rPr>
          <w:rFonts w:ascii="Calibri" w:eastAsia="Times New Roman" w:hAnsi="Calibri" w:cs="Calibri"/>
          <w:color w:val="000000"/>
        </w:rPr>
        <w:t xml:space="preserve">. I perioden 2018 til 2021 har den </w:t>
      </w:r>
      <w:r w:rsidR="00F177E8">
        <w:rPr>
          <w:rFonts w:ascii="Calibri" w:eastAsia="Times New Roman" w:hAnsi="Calibri" w:cs="Calibri"/>
          <w:color w:val="000000"/>
        </w:rPr>
        <w:t>variert mellom 9-1</w:t>
      </w:r>
      <w:r w:rsidR="009037F6">
        <w:rPr>
          <w:rFonts w:ascii="Calibri" w:eastAsia="Times New Roman" w:hAnsi="Calibri" w:cs="Calibri"/>
          <w:color w:val="000000"/>
        </w:rPr>
        <w:t>2</w:t>
      </w:r>
      <w:r w:rsidR="00F177E8">
        <w:rPr>
          <w:rFonts w:ascii="Calibri" w:eastAsia="Times New Roman" w:hAnsi="Calibri" w:cs="Calibri"/>
          <w:color w:val="000000"/>
        </w:rPr>
        <w:t xml:space="preserve"> </w:t>
      </w:r>
      <w:r w:rsidR="00A24770">
        <w:rPr>
          <w:rFonts w:ascii="Calibri" w:eastAsia="Times New Roman" w:hAnsi="Calibri" w:cs="Calibri"/>
          <w:color w:val="000000"/>
        </w:rPr>
        <w:t xml:space="preserve">prosent. Med unntak for </w:t>
      </w:r>
      <w:r w:rsidR="000D06FC">
        <w:rPr>
          <w:rFonts w:ascii="Calibri" w:eastAsia="Times New Roman" w:hAnsi="Calibri" w:cs="Calibri"/>
          <w:color w:val="000000"/>
        </w:rPr>
        <w:t>2016 og 2020</w:t>
      </w:r>
      <w:r w:rsidR="00D36B39">
        <w:rPr>
          <w:rFonts w:ascii="Calibri" w:eastAsia="Times New Roman" w:hAnsi="Calibri" w:cs="Calibri"/>
          <w:color w:val="000000"/>
        </w:rPr>
        <w:t xml:space="preserve"> </w:t>
      </w:r>
      <w:r w:rsidR="000D06FC">
        <w:rPr>
          <w:rFonts w:ascii="Calibri" w:eastAsia="Times New Roman" w:hAnsi="Calibri" w:cs="Calibri"/>
          <w:color w:val="000000"/>
        </w:rPr>
        <w:t>har innvilgelse</w:t>
      </w:r>
      <w:r w:rsidR="00F177E8">
        <w:rPr>
          <w:rFonts w:ascii="Calibri" w:eastAsia="Times New Roman" w:hAnsi="Calibri" w:cs="Calibri"/>
          <w:color w:val="000000"/>
        </w:rPr>
        <w:t xml:space="preserve">sprosenten </w:t>
      </w:r>
      <w:r w:rsidR="005B27BA">
        <w:rPr>
          <w:rFonts w:ascii="Calibri" w:eastAsia="Times New Roman" w:hAnsi="Calibri" w:cs="Calibri"/>
          <w:color w:val="000000"/>
        </w:rPr>
        <w:t xml:space="preserve">for kvinner </w:t>
      </w:r>
      <w:r w:rsidR="00F177E8">
        <w:rPr>
          <w:rFonts w:ascii="Calibri" w:eastAsia="Times New Roman" w:hAnsi="Calibri" w:cs="Calibri"/>
          <w:color w:val="000000"/>
        </w:rPr>
        <w:t xml:space="preserve">vært høyere </w:t>
      </w:r>
      <w:r w:rsidR="005B27BA">
        <w:rPr>
          <w:rFonts w:ascii="Calibri" w:eastAsia="Times New Roman" w:hAnsi="Calibri" w:cs="Calibri"/>
          <w:color w:val="000000"/>
        </w:rPr>
        <w:t xml:space="preserve">enn for </w:t>
      </w:r>
      <w:r w:rsidR="000D06FC">
        <w:rPr>
          <w:rFonts w:ascii="Calibri" w:eastAsia="Times New Roman" w:hAnsi="Calibri" w:cs="Calibri"/>
          <w:color w:val="000000"/>
        </w:rPr>
        <w:t xml:space="preserve">menn. </w:t>
      </w:r>
    </w:p>
    <w:p w14:paraId="06C9925E" w14:textId="77777777" w:rsidR="00C172B1" w:rsidRPr="00C172B1" w:rsidRDefault="00C172B1" w:rsidP="004F0F25">
      <w:pPr>
        <w:spacing w:after="0" w:line="240" w:lineRule="auto"/>
        <w:textAlignment w:val="baseline"/>
        <w:rPr>
          <w:rFonts w:ascii="Calibri" w:eastAsia="Times New Roman" w:hAnsi="Calibri" w:cs="Calibri"/>
          <w:color w:val="000000"/>
        </w:rPr>
      </w:pPr>
    </w:p>
    <w:p w14:paraId="10A9B173" w14:textId="3879ABF0" w:rsidR="00D36B39" w:rsidRDefault="00D36B39" w:rsidP="004F0F25">
      <w:pPr>
        <w:spacing w:after="0" w:line="240" w:lineRule="auto"/>
        <w:textAlignment w:val="baseline"/>
        <w:rPr>
          <w:rFonts w:ascii="Calibri" w:eastAsia="Times New Roman" w:hAnsi="Calibri" w:cs="Calibri"/>
          <w:b/>
          <w:bCs/>
          <w:i/>
          <w:iCs/>
          <w:color w:val="000000"/>
        </w:rPr>
      </w:pPr>
    </w:p>
    <w:p w14:paraId="2EC5DBA6" w14:textId="77883163" w:rsidR="00E22218" w:rsidRDefault="00E22218" w:rsidP="004F0F25">
      <w:pPr>
        <w:spacing w:after="0" w:line="240" w:lineRule="auto"/>
        <w:textAlignment w:val="baseline"/>
        <w:rPr>
          <w:rFonts w:ascii="Calibri" w:eastAsia="Times New Roman" w:hAnsi="Calibri" w:cs="Calibri"/>
          <w:b/>
          <w:bCs/>
          <w:i/>
          <w:iCs/>
          <w:color w:val="000000"/>
        </w:rPr>
      </w:pPr>
    </w:p>
    <w:p w14:paraId="3EDBAB1C" w14:textId="0C402CAA" w:rsidR="00E22218" w:rsidRDefault="00E22218" w:rsidP="004F0F25">
      <w:pPr>
        <w:spacing w:after="0" w:line="240" w:lineRule="auto"/>
        <w:textAlignment w:val="baseline"/>
        <w:rPr>
          <w:rFonts w:ascii="Calibri" w:eastAsia="Times New Roman" w:hAnsi="Calibri" w:cs="Calibri"/>
          <w:b/>
          <w:bCs/>
          <w:i/>
          <w:iCs/>
          <w:color w:val="000000"/>
        </w:rPr>
      </w:pPr>
    </w:p>
    <w:p w14:paraId="14FE20EB" w14:textId="7441A2D2" w:rsidR="00E22218" w:rsidRDefault="00E22218" w:rsidP="004F0F25">
      <w:pPr>
        <w:spacing w:after="0" w:line="240" w:lineRule="auto"/>
        <w:textAlignment w:val="baseline"/>
        <w:rPr>
          <w:rFonts w:ascii="Calibri" w:eastAsia="Times New Roman" w:hAnsi="Calibri" w:cs="Calibri"/>
          <w:b/>
          <w:bCs/>
          <w:i/>
          <w:iCs/>
          <w:color w:val="000000"/>
        </w:rPr>
      </w:pPr>
    </w:p>
    <w:p w14:paraId="15104F1F" w14:textId="2DB8236B" w:rsidR="00E22218" w:rsidRDefault="00E22218" w:rsidP="004F0F25">
      <w:pPr>
        <w:spacing w:after="0" w:line="240" w:lineRule="auto"/>
        <w:textAlignment w:val="baseline"/>
        <w:rPr>
          <w:rFonts w:ascii="Calibri" w:eastAsia="Times New Roman" w:hAnsi="Calibri" w:cs="Calibri"/>
          <w:b/>
          <w:bCs/>
          <w:i/>
          <w:iCs/>
          <w:color w:val="000000"/>
        </w:rPr>
      </w:pPr>
    </w:p>
    <w:p w14:paraId="0C337A78" w14:textId="2DEE02B8" w:rsidR="00E22218" w:rsidRDefault="00E22218" w:rsidP="004F0F25">
      <w:pPr>
        <w:spacing w:after="0" w:line="240" w:lineRule="auto"/>
        <w:textAlignment w:val="baseline"/>
        <w:rPr>
          <w:rFonts w:ascii="Calibri" w:eastAsia="Times New Roman" w:hAnsi="Calibri" w:cs="Calibri"/>
          <w:b/>
          <w:bCs/>
          <w:i/>
          <w:iCs/>
          <w:color w:val="000000"/>
        </w:rPr>
      </w:pPr>
    </w:p>
    <w:p w14:paraId="1EEB1E5E" w14:textId="3CF8C79A" w:rsidR="00E22218" w:rsidRDefault="00E22218" w:rsidP="004F0F25">
      <w:pPr>
        <w:spacing w:after="0" w:line="240" w:lineRule="auto"/>
        <w:textAlignment w:val="baseline"/>
        <w:rPr>
          <w:rFonts w:ascii="Calibri" w:eastAsia="Times New Roman" w:hAnsi="Calibri" w:cs="Calibri"/>
          <w:b/>
          <w:bCs/>
          <w:i/>
          <w:iCs/>
          <w:color w:val="000000"/>
        </w:rPr>
      </w:pPr>
    </w:p>
    <w:p w14:paraId="2F0E356A" w14:textId="4F23EE83" w:rsidR="00E22218" w:rsidRDefault="00E22218" w:rsidP="004F0F25">
      <w:pPr>
        <w:spacing w:after="0" w:line="240" w:lineRule="auto"/>
        <w:textAlignment w:val="baseline"/>
        <w:rPr>
          <w:rFonts w:ascii="Calibri" w:eastAsia="Times New Roman" w:hAnsi="Calibri" w:cs="Calibri"/>
          <w:b/>
          <w:bCs/>
          <w:i/>
          <w:iCs/>
          <w:color w:val="000000"/>
        </w:rPr>
      </w:pPr>
    </w:p>
    <w:p w14:paraId="3081EA9D" w14:textId="77777777" w:rsidR="00E22218" w:rsidRDefault="00E22218" w:rsidP="004F0F25">
      <w:pPr>
        <w:spacing w:after="0" w:line="240" w:lineRule="auto"/>
        <w:textAlignment w:val="baseline"/>
        <w:rPr>
          <w:rFonts w:ascii="Calibri" w:eastAsia="Times New Roman" w:hAnsi="Calibri" w:cs="Calibri"/>
          <w:b/>
          <w:bCs/>
          <w:i/>
          <w:iCs/>
          <w:color w:val="000000"/>
        </w:rPr>
      </w:pPr>
    </w:p>
    <w:p w14:paraId="229B84A7" w14:textId="59093549" w:rsidR="004F0F25"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b/>
          <w:bCs/>
          <w:i/>
          <w:iCs/>
          <w:color w:val="000000"/>
        </w:rPr>
        <w:lastRenderedPageBreak/>
        <w:t>Flest postdoktorstillinger ble finansiert til UH-sektoren </w:t>
      </w:r>
      <w:r w:rsidRPr="002A5E17">
        <w:rPr>
          <w:rFonts w:ascii="Calibri" w:eastAsia="Times New Roman" w:hAnsi="Calibri" w:cs="Calibri"/>
          <w:color w:val="000000"/>
        </w:rPr>
        <w:t> </w:t>
      </w:r>
    </w:p>
    <w:p w14:paraId="5C03D071" w14:textId="276B8A0F" w:rsidR="00D66567" w:rsidRDefault="00D66567" w:rsidP="004F0F25">
      <w:pPr>
        <w:spacing w:after="0" w:line="240" w:lineRule="auto"/>
        <w:textAlignment w:val="baseline"/>
        <w:rPr>
          <w:rFonts w:ascii="Calibri" w:eastAsia="Times New Roman" w:hAnsi="Calibri" w:cs="Calibri"/>
          <w:color w:val="000000"/>
        </w:rPr>
      </w:pPr>
    </w:p>
    <w:p w14:paraId="639C3225" w14:textId="342E99C3" w:rsidR="0090180D" w:rsidRPr="0090180D" w:rsidRDefault="0090180D" w:rsidP="004F0F25">
      <w:pPr>
        <w:spacing w:after="0" w:line="240" w:lineRule="auto"/>
        <w:textAlignment w:val="baseline"/>
        <w:rPr>
          <w:rFonts w:ascii="Calibri" w:eastAsia="Times New Roman" w:hAnsi="Calibri" w:cs="Calibri"/>
          <w:color w:val="000000" w:themeColor="accent6"/>
          <w:sz w:val="18"/>
          <w:szCs w:val="18"/>
        </w:rPr>
      </w:pPr>
      <w:r w:rsidRPr="0090180D">
        <w:rPr>
          <w:rFonts w:eastAsia="Times New Roman"/>
          <w:color w:val="000000" w:themeColor="accent6"/>
          <w:sz w:val="18"/>
          <w:szCs w:val="18"/>
        </w:rPr>
        <w:t xml:space="preserve">Figur </w:t>
      </w:r>
      <w:r w:rsidR="00F12F9B">
        <w:rPr>
          <w:rFonts w:eastAsia="Times New Roman"/>
          <w:color w:val="000000" w:themeColor="accent6"/>
          <w:sz w:val="18"/>
          <w:szCs w:val="18"/>
        </w:rPr>
        <w:t>4</w:t>
      </w:r>
      <w:r w:rsidRPr="0090180D">
        <w:rPr>
          <w:rFonts w:eastAsia="Times New Roman"/>
          <w:color w:val="000000" w:themeColor="accent6"/>
          <w:sz w:val="18"/>
          <w:szCs w:val="18"/>
        </w:rPr>
        <w:t>.</w:t>
      </w:r>
      <w:r w:rsidR="00DA0D93">
        <w:rPr>
          <w:rFonts w:eastAsia="Times New Roman"/>
          <w:color w:val="000000" w:themeColor="accent6"/>
          <w:sz w:val="18"/>
          <w:szCs w:val="18"/>
        </w:rPr>
        <w:t>14</w:t>
      </w:r>
      <w:r w:rsidRPr="0090180D">
        <w:rPr>
          <w:rFonts w:eastAsia="Times New Roman"/>
          <w:color w:val="000000" w:themeColor="accent6"/>
          <w:sz w:val="18"/>
          <w:szCs w:val="18"/>
        </w:rPr>
        <w:t xml:space="preserve"> Postdoktorårsverk fordelt på sektor</w:t>
      </w:r>
      <w:r w:rsidR="00DA0D93">
        <w:rPr>
          <w:rFonts w:eastAsia="Times New Roman"/>
          <w:color w:val="000000" w:themeColor="accent6"/>
          <w:sz w:val="18"/>
          <w:szCs w:val="18"/>
        </w:rPr>
        <w:t xml:space="preserve"> (</w:t>
      </w:r>
      <w:r w:rsidRPr="0090180D">
        <w:rPr>
          <w:rFonts w:eastAsia="Times New Roman"/>
          <w:color w:val="000000" w:themeColor="accent6"/>
          <w:sz w:val="18"/>
          <w:szCs w:val="18"/>
        </w:rPr>
        <w:t>2012-2021</w:t>
      </w:r>
      <w:r w:rsidR="00DA0D93">
        <w:rPr>
          <w:rFonts w:eastAsia="Times New Roman"/>
          <w:color w:val="000000" w:themeColor="accent6"/>
          <w:sz w:val="18"/>
          <w:szCs w:val="18"/>
        </w:rPr>
        <w:t>)</w:t>
      </w:r>
      <w:r w:rsidR="00502738">
        <w:rPr>
          <w:rFonts w:eastAsia="Times New Roman"/>
          <w:color w:val="000000" w:themeColor="accent6"/>
          <w:sz w:val="18"/>
          <w:szCs w:val="18"/>
        </w:rPr>
        <w:t>.</w:t>
      </w:r>
    </w:p>
    <w:p w14:paraId="3DECB8FE" w14:textId="2E36DBE4" w:rsidR="0079055A" w:rsidRDefault="00DA0D93" w:rsidP="004F0F25">
      <w:pPr>
        <w:spacing w:after="0" w:line="240" w:lineRule="auto"/>
        <w:textAlignment w:val="baseline"/>
        <w:rPr>
          <w:rFonts w:ascii="Calibri" w:eastAsia="Times New Roman" w:hAnsi="Calibri" w:cs="Calibri"/>
          <w:color w:val="000000"/>
        </w:rPr>
      </w:pPr>
      <w:r>
        <w:rPr>
          <w:noProof/>
        </w:rPr>
        <w:drawing>
          <wp:inline distT="0" distB="0" distL="0" distR="0" wp14:anchorId="099E88A8" wp14:editId="273126D3">
            <wp:extent cx="5759450" cy="2987817"/>
            <wp:effectExtent l="0" t="0" r="12700" b="3175"/>
            <wp:docPr id="31" name="Diagram 31">
              <a:extLst xmlns:a="http://schemas.openxmlformats.org/drawingml/2006/main">
                <a:ext uri="{FF2B5EF4-FFF2-40B4-BE49-F238E27FC236}">
                  <a16:creationId xmlns:a16="http://schemas.microsoft.com/office/drawing/2014/main" id="{26791ECF-AD7A-4B67-AB72-62A1A6A53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321968A" w14:textId="77777777" w:rsidR="00752552" w:rsidRDefault="00752552" w:rsidP="00752552">
      <w:pPr>
        <w:spacing w:after="0" w:line="240" w:lineRule="auto"/>
        <w:textAlignment w:val="baseline"/>
        <w:rPr>
          <w:rFonts w:ascii="Calibri" w:eastAsia="Times New Roman" w:hAnsi="Calibri" w:cs="Calibri"/>
          <w:color w:val="000000" w:themeColor="accent6"/>
        </w:rPr>
      </w:pPr>
      <w:r w:rsidRPr="00A47159">
        <w:rPr>
          <w:rFonts w:ascii="Calibri" w:eastAsia="Times New Roman" w:hAnsi="Calibri" w:cs="Calibri"/>
          <w:color w:val="000000" w:themeColor="accent6"/>
          <w:sz w:val="18"/>
          <w:szCs w:val="18"/>
        </w:rPr>
        <w:t>Kilde: Forskningsrådet.</w:t>
      </w:r>
    </w:p>
    <w:p w14:paraId="20AC897D" w14:textId="023575E8" w:rsidR="00D66567" w:rsidRDefault="00D66567" w:rsidP="004F0F25">
      <w:pPr>
        <w:spacing w:after="0" w:line="240" w:lineRule="auto"/>
        <w:textAlignment w:val="baseline"/>
        <w:rPr>
          <w:rFonts w:ascii="Calibri" w:eastAsia="Times New Roman" w:hAnsi="Calibri" w:cs="Calibri"/>
          <w:color w:val="000000"/>
        </w:rPr>
      </w:pPr>
    </w:p>
    <w:p w14:paraId="57F8E978" w14:textId="77777777" w:rsidR="00752552" w:rsidRDefault="00752552" w:rsidP="004F0F25">
      <w:pPr>
        <w:spacing w:after="0" w:line="240" w:lineRule="auto"/>
        <w:textAlignment w:val="baseline"/>
        <w:rPr>
          <w:rFonts w:ascii="Calibri" w:eastAsia="Times New Roman" w:hAnsi="Calibri" w:cs="Calibri"/>
          <w:color w:val="000000"/>
        </w:rPr>
      </w:pPr>
    </w:p>
    <w:p w14:paraId="0A562E97" w14:textId="7E36539B" w:rsidR="004F0F25" w:rsidRPr="002A5E17" w:rsidRDefault="004F0F25" w:rsidP="004F0F25">
      <w:pPr>
        <w:spacing w:after="0" w:line="240" w:lineRule="auto"/>
        <w:textAlignment w:val="baseline"/>
        <w:rPr>
          <w:rFonts w:ascii="Calibri" w:eastAsia="Times New Roman" w:hAnsi="Calibri" w:cs="Calibri"/>
          <w:color w:val="000000"/>
        </w:rPr>
      </w:pPr>
      <w:r w:rsidRPr="004F0F25">
        <w:rPr>
          <w:rFonts w:ascii="Calibri" w:eastAsia="Times New Roman" w:hAnsi="Calibri" w:cs="Calibri"/>
          <w:color w:val="000000"/>
        </w:rPr>
        <w:t>Postdoktorstillingen har</w:t>
      </w:r>
      <w:r w:rsidR="00F766F4">
        <w:rPr>
          <w:rFonts w:ascii="Calibri" w:eastAsia="Times New Roman" w:hAnsi="Calibri" w:cs="Calibri"/>
          <w:color w:val="000000"/>
        </w:rPr>
        <w:t>,</w:t>
      </w:r>
      <w:r w:rsidRPr="004F0F25">
        <w:rPr>
          <w:rFonts w:ascii="Calibri" w:eastAsia="Times New Roman" w:hAnsi="Calibri" w:cs="Calibri"/>
          <w:color w:val="000000"/>
        </w:rPr>
        <w:t xml:space="preserve"> som </w:t>
      </w:r>
      <w:r w:rsidR="00AA7F0C">
        <w:rPr>
          <w:rFonts w:ascii="Calibri" w:eastAsia="Times New Roman" w:hAnsi="Calibri" w:cs="Calibri"/>
          <w:color w:val="000000"/>
        </w:rPr>
        <w:t>omtalt over,</w:t>
      </w:r>
      <w:r w:rsidRPr="004F0F25">
        <w:rPr>
          <w:rFonts w:ascii="Calibri" w:eastAsia="Times New Roman" w:hAnsi="Calibri" w:cs="Calibri"/>
          <w:color w:val="000000"/>
        </w:rPr>
        <w:t xml:space="preserve"> vitenskapelig toppstilling som mål. Det er stor konkurranse om disse stillingene, og mange forskere har flere postdoktorperiode før de oppnår fast stilling eller forlater akademia. Det er et uttalt politisk ønske at postdoktorer ikke bør blir værende for lenge i midlertidige stillinger uten reelle utsikter for fast stilling. For å styrke postdoktorstillingens rolle som karrierefremmende virkemiddel har Forskningsrådet innført krav om utviklingsplan for de stillingene vi finansierer. </w:t>
      </w:r>
    </w:p>
    <w:p w14:paraId="2746131A" w14:textId="77777777" w:rsidR="004F0F25" w:rsidRPr="002A5E17" w:rsidRDefault="004F0F25" w:rsidP="004F0F25">
      <w:pPr>
        <w:spacing w:after="0" w:line="240" w:lineRule="auto"/>
        <w:textAlignment w:val="baseline"/>
        <w:rPr>
          <w:rFonts w:ascii="Calibri" w:eastAsia="Times New Roman" w:hAnsi="Calibri" w:cs="Calibri"/>
          <w:color w:val="000000"/>
        </w:rPr>
      </w:pPr>
      <w:r w:rsidRPr="002A5E17">
        <w:rPr>
          <w:rFonts w:ascii="Calibri" w:eastAsia="Times New Roman" w:hAnsi="Calibri" w:cs="Calibri"/>
          <w:color w:val="000000"/>
        </w:rPr>
        <w:t> </w:t>
      </w:r>
    </w:p>
    <w:p w14:paraId="5B3124A3" w14:textId="10E3AA5E" w:rsidR="004D74E2" w:rsidRPr="002A5E17" w:rsidRDefault="005E0E5D" w:rsidP="004F0F25">
      <w:pPr>
        <w:spacing w:after="0" w:line="240" w:lineRule="auto"/>
        <w:textAlignment w:val="baseline"/>
        <w:rPr>
          <w:rFonts w:ascii="Calibri" w:eastAsia="Times New Roman" w:hAnsi="Calibri" w:cs="Calibri"/>
          <w:color w:val="000000"/>
        </w:rPr>
      </w:pPr>
      <w:r w:rsidRPr="162D1FAB">
        <w:rPr>
          <w:rFonts w:ascii="Calibri" w:eastAsia="Times New Roman" w:hAnsi="Calibri" w:cs="Calibri"/>
          <w:color w:val="000000" w:themeColor="accent6"/>
        </w:rPr>
        <w:t xml:space="preserve">Med unntak </w:t>
      </w:r>
      <w:r w:rsidR="00643D49">
        <w:rPr>
          <w:rFonts w:ascii="Calibri" w:eastAsia="Times New Roman" w:hAnsi="Calibri" w:cs="Calibri"/>
          <w:color w:val="000000" w:themeColor="accent6"/>
        </w:rPr>
        <w:t>av</w:t>
      </w:r>
      <w:r w:rsidRPr="162D1FAB">
        <w:rPr>
          <w:rFonts w:ascii="Calibri" w:eastAsia="Times New Roman" w:hAnsi="Calibri" w:cs="Calibri"/>
          <w:color w:val="000000" w:themeColor="accent6"/>
        </w:rPr>
        <w:t xml:space="preserve"> UH-sektoren</w:t>
      </w:r>
      <w:r w:rsidR="0057161A" w:rsidRPr="162D1FAB">
        <w:rPr>
          <w:rFonts w:ascii="Calibri" w:eastAsia="Times New Roman" w:hAnsi="Calibri" w:cs="Calibri"/>
          <w:color w:val="000000" w:themeColor="accent6"/>
        </w:rPr>
        <w:t>,</w:t>
      </w:r>
      <w:r w:rsidRPr="162D1FAB">
        <w:rPr>
          <w:rFonts w:ascii="Calibri" w:eastAsia="Times New Roman" w:hAnsi="Calibri" w:cs="Calibri"/>
          <w:color w:val="000000" w:themeColor="accent6"/>
        </w:rPr>
        <w:t xml:space="preserve"> har </w:t>
      </w:r>
      <w:r w:rsidR="0057161A" w:rsidRPr="162D1FAB">
        <w:rPr>
          <w:rFonts w:ascii="Calibri" w:eastAsia="Times New Roman" w:hAnsi="Calibri" w:cs="Calibri"/>
          <w:color w:val="000000" w:themeColor="accent6"/>
        </w:rPr>
        <w:t>det vært en n</w:t>
      </w:r>
      <w:r w:rsidRPr="162D1FAB">
        <w:rPr>
          <w:rFonts w:ascii="Calibri" w:eastAsia="Times New Roman" w:hAnsi="Calibri" w:cs="Calibri"/>
          <w:color w:val="000000" w:themeColor="accent6"/>
        </w:rPr>
        <w:t xml:space="preserve">edgang i </w:t>
      </w:r>
      <w:r w:rsidR="0057161A" w:rsidRPr="162D1FAB">
        <w:rPr>
          <w:rFonts w:ascii="Calibri" w:eastAsia="Times New Roman" w:hAnsi="Calibri" w:cs="Calibri"/>
          <w:color w:val="000000" w:themeColor="accent6"/>
        </w:rPr>
        <w:t>forskningsrådsfina</w:t>
      </w:r>
      <w:r w:rsidR="00726908" w:rsidRPr="162D1FAB">
        <w:rPr>
          <w:rFonts w:ascii="Calibri" w:eastAsia="Times New Roman" w:hAnsi="Calibri" w:cs="Calibri"/>
          <w:color w:val="000000" w:themeColor="accent6"/>
        </w:rPr>
        <w:t>n</w:t>
      </w:r>
      <w:r w:rsidR="0057161A" w:rsidRPr="162D1FAB">
        <w:rPr>
          <w:rFonts w:ascii="Calibri" w:eastAsia="Times New Roman" w:hAnsi="Calibri" w:cs="Calibri"/>
          <w:color w:val="000000" w:themeColor="accent6"/>
        </w:rPr>
        <w:t xml:space="preserve">sierte postdoktorårsverk </w:t>
      </w:r>
      <w:r w:rsidRPr="162D1FAB">
        <w:rPr>
          <w:rFonts w:ascii="Calibri" w:eastAsia="Times New Roman" w:hAnsi="Calibri" w:cs="Calibri"/>
          <w:color w:val="000000" w:themeColor="accent6"/>
        </w:rPr>
        <w:t>i perioden 201</w:t>
      </w:r>
      <w:r w:rsidR="0090180D" w:rsidRPr="162D1FAB">
        <w:rPr>
          <w:rFonts w:ascii="Calibri" w:eastAsia="Times New Roman" w:hAnsi="Calibri" w:cs="Calibri"/>
          <w:color w:val="000000" w:themeColor="accent6"/>
        </w:rPr>
        <w:t>2</w:t>
      </w:r>
      <w:r w:rsidRPr="162D1FAB">
        <w:rPr>
          <w:rFonts w:ascii="Calibri" w:eastAsia="Times New Roman" w:hAnsi="Calibri" w:cs="Calibri"/>
          <w:color w:val="000000" w:themeColor="accent6"/>
        </w:rPr>
        <w:t>-202</w:t>
      </w:r>
      <w:r w:rsidR="0090180D" w:rsidRPr="162D1FAB">
        <w:rPr>
          <w:rFonts w:ascii="Calibri" w:eastAsia="Times New Roman" w:hAnsi="Calibri" w:cs="Calibri"/>
          <w:color w:val="000000" w:themeColor="accent6"/>
        </w:rPr>
        <w:t>1</w:t>
      </w:r>
      <w:r w:rsidRPr="162D1FAB">
        <w:rPr>
          <w:rFonts w:ascii="Calibri" w:eastAsia="Times New Roman" w:hAnsi="Calibri" w:cs="Calibri"/>
          <w:color w:val="000000" w:themeColor="accent6"/>
        </w:rPr>
        <w:t>. Tildelingen av postdoktorårsverk til UH-sektoren nådde et toppunkt i 2017 med 715 finansierte årsverk</w:t>
      </w:r>
      <w:r w:rsidR="0057161A" w:rsidRPr="162D1FAB">
        <w:rPr>
          <w:rFonts w:ascii="Calibri" w:eastAsia="Times New Roman" w:hAnsi="Calibri" w:cs="Calibri"/>
          <w:color w:val="000000" w:themeColor="accent6"/>
        </w:rPr>
        <w:t xml:space="preserve">. Antallet </w:t>
      </w:r>
      <w:r w:rsidRPr="162D1FAB">
        <w:rPr>
          <w:rFonts w:ascii="Calibri" w:eastAsia="Times New Roman" w:hAnsi="Calibri" w:cs="Calibri"/>
          <w:color w:val="000000" w:themeColor="accent6"/>
        </w:rPr>
        <w:t xml:space="preserve">har gått ned hvert år siden. Nedgangen kom samtidig som det ble innført krav om utviklingsplan for postdoktorer som Forskningsrådet finansierer. </w:t>
      </w:r>
      <w:r w:rsidR="00F8530D" w:rsidRPr="162D1FAB">
        <w:rPr>
          <w:rFonts w:ascii="Calibri" w:eastAsia="Times New Roman" w:hAnsi="Calibri" w:cs="Calibri"/>
          <w:color w:val="000000" w:themeColor="accent6"/>
        </w:rPr>
        <w:t>T</w:t>
      </w:r>
      <w:r w:rsidR="004F0F25" w:rsidRPr="162D1FAB">
        <w:rPr>
          <w:rFonts w:ascii="Calibri" w:eastAsia="Times New Roman" w:hAnsi="Calibri" w:cs="Calibri"/>
          <w:color w:val="000000" w:themeColor="accent6"/>
        </w:rPr>
        <w:t xml:space="preserve">reårig mobilitetsstipend omfattes </w:t>
      </w:r>
      <w:r w:rsidR="00836A22" w:rsidRPr="162D1FAB">
        <w:rPr>
          <w:rFonts w:ascii="Calibri" w:eastAsia="Times New Roman" w:hAnsi="Calibri" w:cs="Calibri"/>
          <w:color w:val="000000" w:themeColor="accent6"/>
        </w:rPr>
        <w:t>ellers</w:t>
      </w:r>
      <w:r w:rsidR="0090180D" w:rsidRPr="162D1FAB">
        <w:rPr>
          <w:rFonts w:ascii="Calibri" w:eastAsia="Times New Roman" w:hAnsi="Calibri" w:cs="Calibri"/>
          <w:color w:val="000000" w:themeColor="accent6"/>
        </w:rPr>
        <w:t xml:space="preserve"> ikke av</w:t>
      </w:r>
      <w:r w:rsidR="004F0F25" w:rsidRPr="162D1FAB">
        <w:rPr>
          <w:rFonts w:ascii="Calibri" w:eastAsia="Times New Roman" w:hAnsi="Calibri" w:cs="Calibri"/>
          <w:color w:val="000000" w:themeColor="accent6"/>
        </w:rPr>
        <w:t xml:space="preserve"> kravet om utviklingsplan</w:t>
      </w:r>
      <w:r w:rsidR="00E51357" w:rsidRPr="162D1FAB">
        <w:rPr>
          <w:rFonts w:ascii="Calibri" w:eastAsia="Times New Roman" w:hAnsi="Calibri" w:cs="Calibri"/>
          <w:color w:val="000000" w:themeColor="accent6"/>
        </w:rPr>
        <w:t xml:space="preserve"> for postdoktorer</w:t>
      </w:r>
      <w:r w:rsidR="0090180D" w:rsidRPr="162D1FAB">
        <w:rPr>
          <w:rFonts w:ascii="Calibri" w:eastAsia="Times New Roman" w:hAnsi="Calibri" w:cs="Calibri"/>
          <w:color w:val="000000" w:themeColor="accent6"/>
        </w:rPr>
        <w:t xml:space="preserve">. </w:t>
      </w:r>
    </w:p>
    <w:p w14:paraId="414B921B" w14:textId="77777777" w:rsidR="004F0F25" w:rsidRPr="0036510F" w:rsidRDefault="004F0F25" w:rsidP="00E60779">
      <w:pPr>
        <w:keepNext/>
        <w:keepLines/>
        <w:spacing w:before="480" w:after="0"/>
        <w:ind w:firstLine="708"/>
        <w:outlineLvl w:val="0"/>
      </w:pPr>
    </w:p>
    <w:sectPr w:rsidR="004F0F25" w:rsidRPr="0036510F" w:rsidSect="00A27AAF">
      <w:footerReference w:type="default" r:id="rId30"/>
      <w:footerReference w:type="first" r:id="rId3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D394" w14:textId="77777777" w:rsidR="001F712D" w:rsidRDefault="001F712D" w:rsidP="000D14F6">
      <w:pPr>
        <w:spacing w:after="0" w:line="240" w:lineRule="auto"/>
      </w:pPr>
      <w:r>
        <w:separator/>
      </w:r>
    </w:p>
  </w:endnote>
  <w:endnote w:type="continuationSeparator" w:id="0">
    <w:p w14:paraId="014D221E" w14:textId="77777777" w:rsidR="001F712D" w:rsidRDefault="001F712D" w:rsidP="000D14F6">
      <w:pPr>
        <w:spacing w:after="0" w:line="240" w:lineRule="auto"/>
      </w:pPr>
      <w:r>
        <w:continuationSeparator/>
      </w:r>
    </w:p>
  </w:endnote>
  <w:endnote w:type="continuationNotice" w:id="1">
    <w:p w14:paraId="5475A4C7" w14:textId="77777777" w:rsidR="001F712D" w:rsidRDefault="001F7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1E9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A3B1" w14:textId="2FD24472" w:rsidR="00726908" w:rsidRDefault="00726908">
    <w:pPr>
      <w:pStyle w:val="Bunntekst"/>
      <w:jc w:val="center"/>
    </w:pPr>
    <w:r>
      <w:fldChar w:fldCharType="begin"/>
    </w:r>
    <w:r>
      <w:instrText>PAGE   \* MERGEFORMAT</w:instrText>
    </w:r>
    <w:r>
      <w:fldChar w:fldCharType="separate"/>
    </w:r>
    <w:r>
      <w:t>2</w:t>
    </w:r>
    <w:r>
      <w:fldChar w:fldCharType="end"/>
    </w:r>
  </w:p>
  <w:p w14:paraId="16280774" w14:textId="77777777" w:rsidR="00726908" w:rsidRDefault="0072690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12AC" w14:textId="77777777" w:rsidR="001F712D" w:rsidRDefault="001F712D" w:rsidP="000D14F6">
      <w:pPr>
        <w:spacing w:after="0" w:line="240" w:lineRule="auto"/>
      </w:pPr>
      <w:r>
        <w:separator/>
      </w:r>
    </w:p>
  </w:footnote>
  <w:footnote w:type="continuationSeparator" w:id="0">
    <w:p w14:paraId="78DC16F6" w14:textId="77777777" w:rsidR="001F712D" w:rsidRDefault="001F712D" w:rsidP="000D14F6">
      <w:pPr>
        <w:spacing w:after="0" w:line="240" w:lineRule="auto"/>
      </w:pPr>
      <w:r>
        <w:continuationSeparator/>
      </w:r>
    </w:p>
  </w:footnote>
  <w:footnote w:type="continuationNotice" w:id="1">
    <w:p w14:paraId="2D72894A" w14:textId="77777777" w:rsidR="001F712D" w:rsidRDefault="001F712D">
      <w:pPr>
        <w:spacing w:after="0" w:line="240" w:lineRule="auto"/>
      </w:pPr>
    </w:p>
  </w:footnote>
  <w:footnote w:id="2">
    <w:p w14:paraId="2376DDC4" w14:textId="30839995" w:rsidR="0011285F" w:rsidRDefault="0011285F">
      <w:pPr>
        <w:pStyle w:val="Fotnotetekst"/>
      </w:pPr>
      <w:r>
        <w:rPr>
          <w:rStyle w:val="Fotnotereferanse"/>
        </w:rPr>
        <w:footnoteRef/>
      </w:r>
      <w:r>
        <w:t xml:space="preserve"> Kunnskapsdepartementet- Strategi for forskerrekruttering og karriereutvikling s.</w:t>
      </w:r>
      <w:r w:rsidR="00B836B2">
        <w:t xml:space="preserve"> </w:t>
      </w:r>
      <w:r>
        <w:t>18.</w:t>
      </w:r>
    </w:p>
  </w:footnote>
  <w:footnote w:id="3">
    <w:p w14:paraId="778262C4" w14:textId="477467ED" w:rsidR="00642354" w:rsidRDefault="00642354">
      <w:pPr>
        <w:pStyle w:val="Fotnotetekst"/>
      </w:pPr>
      <w:r>
        <w:rPr>
          <w:rStyle w:val="Fotnotereferanse"/>
        </w:rPr>
        <w:footnoteRef/>
      </w:r>
      <w:r>
        <w:t xml:space="preserve"> Forskerrekrutteringsmonitoren</w:t>
      </w:r>
      <w:r w:rsidR="00F873F0">
        <w:t xml:space="preserve"> (NIFU)</w:t>
      </w:r>
      <w:r w:rsidR="00BE17B3">
        <w:t>.</w:t>
      </w:r>
    </w:p>
  </w:footnote>
  <w:footnote w:id="4">
    <w:p w14:paraId="0EB0E2F7" w14:textId="1A49109D" w:rsidR="00CD1A01" w:rsidRDefault="00CD1A01">
      <w:pPr>
        <w:pStyle w:val="Fotnotetekst"/>
      </w:pPr>
      <w:r>
        <w:rPr>
          <w:rStyle w:val="Fotnotereferanse"/>
        </w:rPr>
        <w:footnoteRef/>
      </w:r>
      <w:r>
        <w:t xml:space="preserve"> Indik</w:t>
      </w:r>
      <w:r w:rsidR="00F676F2">
        <w:t>a</w:t>
      </w:r>
      <w:r>
        <w:t>torrapporten</w:t>
      </w:r>
      <w:r w:rsidR="003C4442">
        <w:t>.</w:t>
      </w:r>
    </w:p>
  </w:footnote>
  <w:footnote w:id="5">
    <w:p w14:paraId="3B34FA97" w14:textId="57C3BF7F" w:rsidR="00BC02E8" w:rsidRDefault="00BC02E8">
      <w:pPr>
        <w:pStyle w:val="Fotnotetekst"/>
      </w:pPr>
      <w:r>
        <w:rPr>
          <w:rStyle w:val="Fotnotereferanse"/>
        </w:rPr>
        <w:footnoteRef/>
      </w:r>
      <w:r>
        <w:t xml:space="preserve"> SSB-tall for 2021</w:t>
      </w:r>
      <w:r w:rsidR="00BE17B3">
        <w:t>.</w:t>
      </w:r>
    </w:p>
  </w:footnote>
  <w:footnote w:id="6">
    <w:p w14:paraId="3DACFD90" w14:textId="0B964128" w:rsidR="00BC02E8" w:rsidRDefault="00BC02E8">
      <w:pPr>
        <w:pStyle w:val="Fotnotetekst"/>
      </w:pPr>
      <w:r>
        <w:rPr>
          <w:rStyle w:val="Fotnotereferanse"/>
        </w:rPr>
        <w:footnoteRef/>
      </w:r>
      <w:r>
        <w:t xml:space="preserve"> Doktorgradsundersøkelsen 2019 s.9</w:t>
      </w:r>
      <w:r w:rsidR="00BE17B3">
        <w:t>.</w:t>
      </w:r>
    </w:p>
  </w:footnote>
  <w:footnote w:id="7">
    <w:p w14:paraId="4F6A618B" w14:textId="1E4E6317" w:rsidR="00745199" w:rsidRDefault="00745199">
      <w:pPr>
        <w:pStyle w:val="Fotnotetekst"/>
      </w:pPr>
      <w:r>
        <w:rPr>
          <w:rStyle w:val="Fotnotereferanse"/>
        </w:rPr>
        <w:footnoteRef/>
      </w:r>
      <w:r>
        <w:t xml:space="preserve"> Kartleggingen av postdoktorstillingen (NIFU)</w:t>
      </w:r>
      <w:r w:rsidR="00BE17B3">
        <w:t>.</w:t>
      </w:r>
    </w:p>
  </w:footnote>
  <w:footnote w:id="8">
    <w:p w14:paraId="3514F1FE" w14:textId="10EB20FB" w:rsidR="00910358" w:rsidRDefault="00910358">
      <w:pPr>
        <w:pStyle w:val="Fotnotetekst"/>
      </w:pPr>
      <w:r>
        <w:rPr>
          <w:rStyle w:val="Fotnotereferanse"/>
        </w:rPr>
        <w:footnoteRef/>
      </w:r>
      <w:r>
        <w:t xml:space="preserve"> Policy for kjønnsbalanse og kjønnsperpektiver i forskning og innovasjon</w:t>
      </w:r>
    </w:p>
  </w:footnote>
  <w:footnote w:id="9">
    <w:p w14:paraId="42A018F1" w14:textId="0677E4C5" w:rsidR="00AB7648" w:rsidRPr="0021278F" w:rsidRDefault="00AB7648">
      <w:pPr>
        <w:pStyle w:val="Fotnotetekst"/>
      </w:pPr>
      <w:r>
        <w:rPr>
          <w:rStyle w:val="Fotnotereferanse"/>
        </w:rPr>
        <w:footnoteRef/>
      </w:r>
      <w:r w:rsidRPr="0021278F">
        <w:t xml:space="preserve"> Indikatorrap</w:t>
      </w:r>
      <w:r w:rsidR="00CD4E5E" w:rsidRPr="0021278F">
        <w:t>p</w:t>
      </w:r>
      <w:r w:rsidRPr="0021278F">
        <w:t>orten</w:t>
      </w:r>
      <w:r w:rsidR="006C5933" w:rsidRPr="0021278F">
        <w:t xml:space="preserve"> 2021. </w:t>
      </w:r>
      <w:r w:rsidR="001F535D" w:rsidRPr="0021278F">
        <w:t>Versjon</w:t>
      </w:r>
      <w:r w:rsidRPr="0021278F">
        <w:t xml:space="preserve"> 25. juni 2021</w:t>
      </w:r>
      <w:r w:rsidR="00CD4E5E" w:rsidRPr="0021278F">
        <w:t>.</w:t>
      </w:r>
    </w:p>
  </w:footnote>
  <w:footnote w:id="10">
    <w:p w14:paraId="0D012FBB" w14:textId="05D78E5C" w:rsidR="00F42ADC" w:rsidRPr="00775480" w:rsidRDefault="00F42ADC">
      <w:pPr>
        <w:pStyle w:val="Fotnotetekst"/>
      </w:pPr>
      <w:r>
        <w:rPr>
          <w:rStyle w:val="Fotnotereferanse"/>
        </w:rPr>
        <w:footnoteRef/>
      </w:r>
      <w:r w:rsidRPr="00775480">
        <w:t xml:space="preserve"> </w:t>
      </w:r>
      <w:r w:rsidRPr="0021278F">
        <w:t xml:space="preserve">Omfatter forskerskoler </w:t>
      </w:r>
      <w:r w:rsidR="00775480" w:rsidRPr="0021278F">
        <w:t>finans</w:t>
      </w:r>
      <w:r w:rsidR="00B97F42">
        <w:t>i</w:t>
      </w:r>
      <w:r w:rsidR="00775480" w:rsidRPr="0021278F">
        <w:t>ert gjennom f</w:t>
      </w:r>
      <w:r w:rsidR="00775480">
        <w:t xml:space="preserve">ellesutlysninger. I tillegg har </w:t>
      </w:r>
      <w:r w:rsidR="00B97F42">
        <w:t>Forskningsrådet finansiert forskerskoler over spesifikke budsjettformål.</w:t>
      </w:r>
    </w:p>
  </w:footnote>
  <w:footnote w:id="11">
    <w:p w14:paraId="5E2235FF" w14:textId="397D239B" w:rsidR="00CD4E5E" w:rsidRPr="00775480" w:rsidRDefault="00CD4E5E" w:rsidP="00CD4E5E">
      <w:pPr>
        <w:pStyle w:val="Fotnotetekst"/>
        <w:rPr>
          <w:lang w:val="en-US"/>
        </w:rPr>
      </w:pPr>
      <w:r>
        <w:rPr>
          <w:rStyle w:val="Fotnotereferanse"/>
        </w:rPr>
        <w:footnoteRef/>
      </w:r>
      <w:r w:rsidRPr="00775480">
        <w:rPr>
          <w:lang w:val="en-US"/>
        </w:rPr>
        <w:t xml:space="preserve"> </w:t>
      </w:r>
      <w:hyperlink r:id="rId1" w:history="1">
        <w:r w:rsidRPr="00775480">
          <w:rPr>
            <w:rStyle w:val="Hyperkobling"/>
            <w:lang w:val="en-US"/>
          </w:rPr>
          <w:t>Evaluation of the national research school scheme (forskningsradet.no)</w:t>
        </w:r>
      </w:hyperlink>
      <w:r w:rsidR="00B97F42">
        <w:rPr>
          <w:rStyle w:val="Hyperkobling"/>
          <w:lang w:val="en-US"/>
        </w:rPr>
        <w:t>.</w:t>
      </w:r>
    </w:p>
  </w:footnote>
  <w:footnote w:id="12">
    <w:p w14:paraId="19C6147C" w14:textId="0EF8983E" w:rsidR="008A39A9" w:rsidRDefault="008A39A9">
      <w:pPr>
        <w:pStyle w:val="Fotnotetekst"/>
      </w:pPr>
      <w:r>
        <w:rPr>
          <w:rStyle w:val="Fotnotereferanse"/>
        </w:rPr>
        <w:footnoteRef/>
      </w:r>
      <w:r>
        <w:t xml:space="preserve"> Indikatorrapporten 2021</w:t>
      </w:r>
      <w:r w:rsidR="00E00DB8">
        <w:t>.</w:t>
      </w:r>
    </w:p>
  </w:footnote>
  <w:footnote w:id="13">
    <w:p w14:paraId="00E28FAF" w14:textId="1BABBFBA" w:rsidR="007C09F1" w:rsidRPr="008A39A9" w:rsidRDefault="007C09F1">
      <w:pPr>
        <w:pStyle w:val="Fotnotetekst"/>
      </w:pPr>
      <w:r>
        <w:rPr>
          <w:rStyle w:val="Fotnotereferanse"/>
        </w:rPr>
        <w:footnoteRef/>
      </w:r>
      <w:r w:rsidRPr="008A39A9">
        <w:t xml:space="preserve"> Strategi for forskerrekruttering (Kunnskapsdepartementet)</w:t>
      </w:r>
      <w:r w:rsidR="005C6AC8" w:rsidRPr="008A39A9">
        <w:t>.</w:t>
      </w:r>
    </w:p>
  </w:footnote>
  <w:footnote w:id="14">
    <w:p w14:paraId="47419CC9" w14:textId="22DD80C9" w:rsidR="00203C22" w:rsidRPr="00203C22" w:rsidRDefault="00203C22">
      <w:pPr>
        <w:pStyle w:val="Fotnotetekst"/>
      </w:pPr>
      <w:r>
        <w:rPr>
          <w:rStyle w:val="Fotnotereferanse"/>
        </w:rPr>
        <w:footnoteRef/>
      </w:r>
      <w:r w:rsidRPr="00203C22">
        <w:t xml:space="preserve"> Dokto</w:t>
      </w:r>
      <w:r w:rsidR="00704C1E">
        <w:t xml:space="preserve">r- </w:t>
      </w:r>
      <w:r w:rsidRPr="00203C22">
        <w:t>og postdoktorstipendiater ved s</w:t>
      </w:r>
      <w:r>
        <w:t>entrene omfattes ikke av ord</w:t>
      </w:r>
      <w:r w:rsidR="00E32AC7">
        <w:t>n</w:t>
      </w:r>
      <w:r>
        <w:t>ingen</w:t>
      </w:r>
      <w:r w:rsidR="008F51DB">
        <w:t>.</w:t>
      </w:r>
    </w:p>
  </w:footnote>
  <w:footnote w:id="15">
    <w:p w14:paraId="5285AADE" w14:textId="77777777" w:rsidR="007E4659" w:rsidRPr="004B7A0F" w:rsidRDefault="007E4659" w:rsidP="007E4659">
      <w:pPr>
        <w:pStyle w:val="Fotnotetekst"/>
        <w:rPr>
          <w:lang w:val="en-US"/>
        </w:rPr>
      </w:pPr>
      <w:r>
        <w:rPr>
          <w:rStyle w:val="Fotnotereferanse"/>
        </w:rPr>
        <w:footnoteRef/>
      </w:r>
      <w:r w:rsidRPr="00B07ECE">
        <w:rPr>
          <w:lang w:val="en-US"/>
        </w:rPr>
        <w:t xml:space="preserve"> Jacobsen GW </w:t>
      </w:r>
      <w:r w:rsidRPr="006F37BC">
        <w:rPr>
          <w:i/>
          <w:lang w:val="en-US"/>
        </w:rPr>
        <w:t>et al.</w:t>
      </w:r>
      <w:r w:rsidRPr="006F37BC">
        <w:rPr>
          <w:lang w:val="en-US"/>
        </w:rPr>
        <w:t>, Springboard to an academic career – A national medical student research program, PLoS One, 2018 Apr 30;13(4).</w:t>
      </w:r>
    </w:p>
  </w:footnote>
  <w:footnote w:id="16">
    <w:p w14:paraId="6CF8DCDD" w14:textId="07DCAC7B" w:rsidR="007E4659" w:rsidRPr="00466F9A" w:rsidRDefault="007E4659" w:rsidP="007E4659">
      <w:pPr>
        <w:pStyle w:val="Fotnotetekst"/>
      </w:pPr>
      <w:r>
        <w:rPr>
          <w:rStyle w:val="Fotnotereferanse"/>
        </w:rPr>
        <w:footnoteRef/>
      </w:r>
      <w:r>
        <w:t xml:space="preserve"> </w:t>
      </w:r>
      <w:r w:rsidRPr="00466F9A">
        <w:t>Bjerkreim AT</w:t>
      </w:r>
      <w:r>
        <w:t xml:space="preserve"> </w:t>
      </w:r>
      <w:r>
        <w:rPr>
          <w:i/>
        </w:rPr>
        <w:t>et al.</w:t>
      </w:r>
      <w:r>
        <w:t xml:space="preserve">, </w:t>
      </w:r>
      <w:r w:rsidRPr="00466F9A">
        <w:t>Fortsetter forskerlinjestudenter å forske</w:t>
      </w:r>
      <w:r>
        <w:t>?</w:t>
      </w:r>
      <w:r w:rsidRPr="00466F9A">
        <w:t xml:space="preserve"> Tidsskr</w:t>
      </w:r>
      <w:r w:rsidR="00AF3CA6">
        <w:t>ift</w:t>
      </w:r>
      <w:r w:rsidRPr="00466F9A">
        <w:t xml:space="preserve"> </w:t>
      </w:r>
      <w:r w:rsidR="005C6AC8">
        <w:t>f</w:t>
      </w:r>
      <w:r w:rsidRPr="00466F9A">
        <w:t>or L</w:t>
      </w:r>
      <w:r w:rsidR="005C6AC8">
        <w:t>æ</w:t>
      </w:r>
      <w:r w:rsidRPr="00466F9A">
        <w:t>geforen</w:t>
      </w:r>
      <w:r w:rsidR="005C6AC8">
        <w:t>ingen</w:t>
      </w:r>
      <w:r w:rsidRPr="00466F9A">
        <w:t>, 2019 Feb 7;139(3).</w:t>
      </w:r>
    </w:p>
  </w:footnote>
  <w:footnote w:id="17">
    <w:p w14:paraId="2DFCCA15" w14:textId="6DBB4019" w:rsidR="004800ED" w:rsidRDefault="004800ED" w:rsidP="004800ED">
      <w:pPr>
        <w:pStyle w:val="Fotnotetekst"/>
      </w:pPr>
      <w:r>
        <w:rPr>
          <w:rStyle w:val="Fotnotereferanse"/>
        </w:rPr>
        <w:footnoteRef/>
      </w:r>
      <w:r>
        <w:t xml:space="preserve"> Forskningsrådet</w:t>
      </w:r>
      <w:r w:rsidR="00502738">
        <w:t>.</w:t>
      </w:r>
    </w:p>
  </w:footnote>
  <w:footnote w:id="18">
    <w:p w14:paraId="5AA9D150" w14:textId="77777777" w:rsidR="00ED20AD" w:rsidRPr="000B1E14" w:rsidRDefault="00ED20AD" w:rsidP="00ED20AD">
      <w:pPr>
        <w:pStyle w:val="Ingenmellomrom"/>
        <w:shd w:val="clear" w:color="auto" w:fill="FFFFFF" w:themeFill="background1"/>
        <w:rPr>
          <w:sz w:val="18"/>
          <w:szCs w:val="18"/>
        </w:rPr>
      </w:pPr>
      <w:r w:rsidRPr="00A64F7F">
        <w:rPr>
          <w:rStyle w:val="Fotnotereferanse"/>
          <w:sz w:val="18"/>
          <w:szCs w:val="18"/>
          <w:shd w:val="clear" w:color="auto" w:fill="FFFFFF" w:themeFill="background1"/>
        </w:rPr>
        <w:footnoteRef/>
      </w:r>
      <w:r w:rsidRPr="00A64F7F">
        <w:rPr>
          <w:sz w:val="18"/>
          <w:szCs w:val="18"/>
          <w:shd w:val="clear" w:color="auto" w:fill="FFFFFF" w:themeFill="background1"/>
        </w:rPr>
        <w:t xml:space="preserve"> Rapport om Unge forskertalenter. Gjennomgang av ordningen Unge forskertalenter i perioden 2013-2018. Forskningsrådet 2020.</w:t>
      </w:r>
    </w:p>
  </w:footnote>
</w:footnotes>
</file>

<file path=word/intelligence2.xml><?xml version="1.0" encoding="utf-8"?>
<int2:intelligence xmlns:int2="http://schemas.microsoft.com/office/intelligence/2020/intelligence" xmlns:oel="http://schemas.microsoft.com/office/2019/extlst">
  <int2:observations>
    <int2:textHash int2:hashCode="+pMLKb1oJgooBx" int2:id="rfJN7we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9B0"/>
    <w:multiLevelType w:val="hybridMultilevel"/>
    <w:tmpl w:val="35207178"/>
    <w:lvl w:ilvl="0" w:tplc="42006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A33A8"/>
    <w:multiLevelType w:val="multilevel"/>
    <w:tmpl w:val="CF30E508"/>
    <w:lvl w:ilvl="0">
      <w:start w:val="2"/>
      <w:numFmt w:val="decimal"/>
      <w:lvlText w:val="%1."/>
      <w:lvlJc w:val="left"/>
      <w:pPr>
        <w:tabs>
          <w:tab w:val="num" w:pos="5889"/>
        </w:tabs>
        <w:ind w:left="5889" w:hanging="360"/>
      </w:pPr>
    </w:lvl>
    <w:lvl w:ilvl="1" w:tentative="1">
      <w:start w:val="1"/>
      <w:numFmt w:val="decimal"/>
      <w:lvlText w:val="%2."/>
      <w:lvlJc w:val="left"/>
      <w:pPr>
        <w:tabs>
          <w:tab w:val="num" w:pos="6609"/>
        </w:tabs>
        <w:ind w:left="6609" w:hanging="360"/>
      </w:pPr>
    </w:lvl>
    <w:lvl w:ilvl="2" w:tentative="1">
      <w:start w:val="1"/>
      <w:numFmt w:val="decimal"/>
      <w:lvlText w:val="%3."/>
      <w:lvlJc w:val="left"/>
      <w:pPr>
        <w:tabs>
          <w:tab w:val="num" w:pos="7329"/>
        </w:tabs>
        <w:ind w:left="7329" w:hanging="360"/>
      </w:pPr>
    </w:lvl>
    <w:lvl w:ilvl="3" w:tentative="1">
      <w:start w:val="1"/>
      <w:numFmt w:val="decimal"/>
      <w:lvlText w:val="%4."/>
      <w:lvlJc w:val="left"/>
      <w:pPr>
        <w:tabs>
          <w:tab w:val="num" w:pos="8049"/>
        </w:tabs>
        <w:ind w:left="8049" w:hanging="360"/>
      </w:pPr>
    </w:lvl>
    <w:lvl w:ilvl="4" w:tentative="1">
      <w:start w:val="1"/>
      <w:numFmt w:val="decimal"/>
      <w:lvlText w:val="%5."/>
      <w:lvlJc w:val="left"/>
      <w:pPr>
        <w:tabs>
          <w:tab w:val="num" w:pos="8769"/>
        </w:tabs>
        <w:ind w:left="8769" w:hanging="360"/>
      </w:pPr>
    </w:lvl>
    <w:lvl w:ilvl="5" w:tentative="1">
      <w:start w:val="1"/>
      <w:numFmt w:val="decimal"/>
      <w:lvlText w:val="%6."/>
      <w:lvlJc w:val="left"/>
      <w:pPr>
        <w:tabs>
          <w:tab w:val="num" w:pos="9489"/>
        </w:tabs>
        <w:ind w:left="9489" w:hanging="360"/>
      </w:pPr>
    </w:lvl>
    <w:lvl w:ilvl="6" w:tentative="1">
      <w:start w:val="1"/>
      <w:numFmt w:val="decimal"/>
      <w:lvlText w:val="%7."/>
      <w:lvlJc w:val="left"/>
      <w:pPr>
        <w:tabs>
          <w:tab w:val="num" w:pos="10209"/>
        </w:tabs>
        <w:ind w:left="10209" w:hanging="360"/>
      </w:pPr>
    </w:lvl>
    <w:lvl w:ilvl="7" w:tentative="1">
      <w:start w:val="1"/>
      <w:numFmt w:val="decimal"/>
      <w:lvlText w:val="%8."/>
      <w:lvlJc w:val="left"/>
      <w:pPr>
        <w:tabs>
          <w:tab w:val="num" w:pos="10929"/>
        </w:tabs>
        <w:ind w:left="10929" w:hanging="360"/>
      </w:pPr>
    </w:lvl>
    <w:lvl w:ilvl="8" w:tentative="1">
      <w:start w:val="1"/>
      <w:numFmt w:val="decimal"/>
      <w:lvlText w:val="%9."/>
      <w:lvlJc w:val="left"/>
      <w:pPr>
        <w:tabs>
          <w:tab w:val="num" w:pos="11649"/>
        </w:tabs>
        <w:ind w:left="11649" w:hanging="360"/>
      </w:pPr>
    </w:lvl>
  </w:abstractNum>
  <w:abstractNum w:abstractNumId="2" w15:restartNumberingAfterBreak="0">
    <w:nsid w:val="0AD5459C"/>
    <w:multiLevelType w:val="multilevel"/>
    <w:tmpl w:val="7504B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4134F"/>
    <w:multiLevelType w:val="multilevel"/>
    <w:tmpl w:val="FE3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769F2"/>
    <w:multiLevelType w:val="multilevel"/>
    <w:tmpl w:val="86DAC9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8256F"/>
    <w:multiLevelType w:val="multilevel"/>
    <w:tmpl w:val="B9B8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8A3253"/>
    <w:multiLevelType w:val="multilevel"/>
    <w:tmpl w:val="AA425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114CA"/>
    <w:multiLevelType w:val="hybridMultilevel"/>
    <w:tmpl w:val="8C80AF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C70DF"/>
    <w:multiLevelType w:val="hybridMultilevel"/>
    <w:tmpl w:val="CAF22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763C43"/>
    <w:multiLevelType w:val="multilevel"/>
    <w:tmpl w:val="1102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903D80"/>
    <w:multiLevelType w:val="multilevel"/>
    <w:tmpl w:val="1AD6E7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C7FBE"/>
    <w:multiLevelType w:val="multilevel"/>
    <w:tmpl w:val="BC36E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15946"/>
    <w:multiLevelType w:val="multilevel"/>
    <w:tmpl w:val="16D09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63996"/>
    <w:multiLevelType w:val="hybridMultilevel"/>
    <w:tmpl w:val="28A4801A"/>
    <w:lvl w:ilvl="0" w:tplc="65F623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35D16"/>
    <w:multiLevelType w:val="hybridMultilevel"/>
    <w:tmpl w:val="B2C6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73EA3"/>
    <w:multiLevelType w:val="multilevel"/>
    <w:tmpl w:val="70E8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74197"/>
    <w:multiLevelType w:val="hybridMultilevel"/>
    <w:tmpl w:val="EEA6F59E"/>
    <w:lvl w:ilvl="0" w:tplc="C5445A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3204B"/>
    <w:multiLevelType w:val="hybridMultilevel"/>
    <w:tmpl w:val="EAB02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55DEC"/>
    <w:multiLevelType w:val="hybridMultilevel"/>
    <w:tmpl w:val="A7BA179A"/>
    <w:lvl w:ilvl="0" w:tplc="13B8F3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762BE"/>
    <w:multiLevelType w:val="multilevel"/>
    <w:tmpl w:val="C818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A107B4"/>
    <w:multiLevelType w:val="multilevel"/>
    <w:tmpl w:val="7420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4705C0"/>
    <w:multiLevelType w:val="hybridMultilevel"/>
    <w:tmpl w:val="8BC2F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EA62FBE"/>
    <w:multiLevelType w:val="hybridMultilevel"/>
    <w:tmpl w:val="B1D0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D20A0"/>
    <w:multiLevelType w:val="hybridMultilevel"/>
    <w:tmpl w:val="B16E6C1E"/>
    <w:lvl w:ilvl="0" w:tplc="78F6E4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1110C"/>
    <w:multiLevelType w:val="multilevel"/>
    <w:tmpl w:val="7A94E72C"/>
    <w:lvl w:ilvl="0">
      <w:start w:val="3"/>
      <w:numFmt w:val="decimal"/>
      <w:lvlText w:val="%1"/>
      <w:lvlJc w:val="left"/>
      <w:pPr>
        <w:ind w:left="360" w:hanging="360"/>
      </w:pPr>
      <w:rPr>
        <w:rFonts w:hint="default"/>
        <w:b/>
        <w:color w:val="00328D"/>
      </w:rPr>
    </w:lvl>
    <w:lvl w:ilvl="1">
      <w:start w:val="1"/>
      <w:numFmt w:val="decimal"/>
      <w:lvlText w:val="%1.%2"/>
      <w:lvlJc w:val="left"/>
      <w:pPr>
        <w:ind w:left="360" w:hanging="360"/>
      </w:pPr>
      <w:rPr>
        <w:rFonts w:hint="default"/>
        <w:b/>
        <w:color w:val="00328D"/>
      </w:rPr>
    </w:lvl>
    <w:lvl w:ilvl="2">
      <w:start w:val="1"/>
      <w:numFmt w:val="decimal"/>
      <w:lvlText w:val="%1.%2.%3"/>
      <w:lvlJc w:val="left"/>
      <w:pPr>
        <w:ind w:left="720" w:hanging="720"/>
      </w:pPr>
      <w:rPr>
        <w:rFonts w:hint="default"/>
        <w:b/>
        <w:color w:val="00328D"/>
      </w:rPr>
    </w:lvl>
    <w:lvl w:ilvl="3">
      <w:start w:val="1"/>
      <w:numFmt w:val="decimal"/>
      <w:lvlText w:val="%1.%2.%3.%4"/>
      <w:lvlJc w:val="left"/>
      <w:pPr>
        <w:ind w:left="720" w:hanging="720"/>
      </w:pPr>
      <w:rPr>
        <w:rFonts w:hint="default"/>
        <w:b/>
        <w:color w:val="00328D"/>
      </w:rPr>
    </w:lvl>
    <w:lvl w:ilvl="4">
      <w:start w:val="1"/>
      <w:numFmt w:val="decimal"/>
      <w:lvlText w:val="%1.%2.%3.%4.%5"/>
      <w:lvlJc w:val="left"/>
      <w:pPr>
        <w:ind w:left="1080" w:hanging="1080"/>
      </w:pPr>
      <w:rPr>
        <w:rFonts w:hint="default"/>
        <w:b/>
        <w:color w:val="00328D"/>
      </w:rPr>
    </w:lvl>
    <w:lvl w:ilvl="5">
      <w:start w:val="1"/>
      <w:numFmt w:val="decimal"/>
      <w:lvlText w:val="%1.%2.%3.%4.%5.%6"/>
      <w:lvlJc w:val="left"/>
      <w:pPr>
        <w:ind w:left="1080" w:hanging="1080"/>
      </w:pPr>
      <w:rPr>
        <w:rFonts w:hint="default"/>
        <w:b/>
        <w:color w:val="00328D"/>
      </w:rPr>
    </w:lvl>
    <w:lvl w:ilvl="6">
      <w:start w:val="1"/>
      <w:numFmt w:val="decimal"/>
      <w:lvlText w:val="%1.%2.%3.%4.%5.%6.%7"/>
      <w:lvlJc w:val="left"/>
      <w:pPr>
        <w:ind w:left="1440" w:hanging="1440"/>
      </w:pPr>
      <w:rPr>
        <w:rFonts w:hint="default"/>
        <w:b/>
        <w:color w:val="00328D"/>
      </w:rPr>
    </w:lvl>
    <w:lvl w:ilvl="7">
      <w:start w:val="1"/>
      <w:numFmt w:val="decimal"/>
      <w:lvlText w:val="%1.%2.%3.%4.%5.%6.%7.%8"/>
      <w:lvlJc w:val="left"/>
      <w:pPr>
        <w:ind w:left="1440" w:hanging="1440"/>
      </w:pPr>
      <w:rPr>
        <w:rFonts w:hint="default"/>
        <w:b/>
        <w:color w:val="00328D"/>
      </w:rPr>
    </w:lvl>
    <w:lvl w:ilvl="8">
      <w:start w:val="1"/>
      <w:numFmt w:val="decimal"/>
      <w:lvlText w:val="%1.%2.%3.%4.%5.%6.%7.%8.%9"/>
      <w:lvlJc w:val="left"/>
      <w:pPr>
        <w:ind w:left="1440" w:hanging="1440"/>
      </w:pPr>
      <w:rPr>
        <w:rFonts w:hint="default"/>
        <w:b/>
        <w:color w:val="00328D"/>
      </w:rPr>
    </w:lvl>
  </w:abstractNum>
  <w:abstractNum w:abstractNumId="25" w15:restartNumberingAfterBreak="0">
    <w:nsid w:val="70AB11C6"/>
    <w:multiLevelType w:val="multilevel"/>
    <w:tmpl w:val="02248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475D1"/>
    <w:multiLevelType w:val="hybridMultilevel"/>
    <w:tmpl w:val="4656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43158"/>
    <w:multiLevelType w:val="hybridMultilevel"/>
    <w:tmpl w:val="666A9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172200"/>
    <w:multiLevelType w:val="multilevel"/>
    <w:tmpl w:val="06AEA64C"/>
    <w:lvl w:ilvl="0">
      <w:start w:val="1"/>
      <w:numFmt w:val="bullet"/>
      <w:lvlText w:val=""/>
      <w:lvlJc w:val="left"/>
      <w:pPr>
        <w:tabs>
          <w:tab w:val="num" w:pos="672"/>
        </w:tabs>
        <w:ind w:left="672" w:hanging="360"/>
      </w:pPr>
      <w:rPr>
        <w:rFonts w:ascii="Symbol" w:hAnsi="Symbol" w:hint="default"/>
        <w:sz w:val="20"/>
      </w:rPr>
    </w:lvl>
    <w:lvl w:ilvl="1" w:tentative="1">
      <w:start w:val="1"/>
      <w:numFmt w:val="bullet"/>
      <w:lvlText w:val=""/>
      <w:lvlJc w:val="left"/>
      <w:pPr>
        <w:tabs>
          <w:tab w:val="num" w:pos="1392"/>
        </w:tabs>
        <w:ind w:left="1392" w:hanging="360"/>
      </w:pPr>
      <w:rPr>
        <w:rFonts w:ascii="Symbol" w:hAnsi="Symbol" w:hint="default"/>
        <w:sz w:val="20"/>
      </w:rPr>
    </w:lvl>
    <w:lvl w:ilvl="2" w:tentative="1">
      <w:start w:val="1"/>
      <w:numFmt w:val="bullet"/>
      <w:lvlText w:val=""/>
      <w:lvlJc w:val="left"/>
      <w:pPr>
        <w:tabs>
          <w:tab w:val="num" w:pos="2112"/>
        </w:tabs>
        <w:ind w:left="2112" w:hanging="360"/>
      </w:pPr>
      <w:rPr>
        <w:rFonts w:ascii="Symbol" w:hAnsi="Symbol" w:hint="default"/>
        <w:sz w:val="20"/>
      </w:rPr>
    </w:lvl>
    <w:lvl w:ilvl="3" w:tentative="1">
      <w:start w:val="1"/>
      <w:numFmt w:val="bullet"/>
      <w:lvlText w:val=""/>
      <w:lvlJc w:val="left"/>
      <w:pPr>
        <w:tabs>
          <w:tab w:val="num" w:pos="2832"/>
        </w:tabs>
        <w:ind w:left="2832" w:hanging="360"/>
      </w:pPr>
      <w:rPr>
        <w:rFonts w:ascii="Symbol" w:hAnsi="Symbol" w:hint="default"/>
        <w:sz w:val="20"/>
      </w:rPr>
    </w:lvl>
    <w:lvl w:ilvl="4" w:tentative="1">
      <w:start w:val="1"/>
      <w:numFmt w:val="bullet"/>
      <w:lvlText w:val=""/>
      <w:lvlJc w:val="left"/>
      <w:pPr>
        <w:tabs>
          <w:tab w:val="num" w:pos="3552"/>
        </w:tabs>
        <w:ind w:left="3552" w:hanging="360"/>
      </w:pPr>
      <w:rPr>
        <w:rFonts w:ascii="Symbol" w:hAnsi="Symbol" w:hint="default"/>
        <w:sz w:val="20"/>
      </w:rPr>
    </w:lvl>
    <w:lvl w:ilvl="5" w:tentative="1">
      <w:start w:val="1"/>
      <w:numFmt w:val="bullet"/>
      <w:lvlText w:val=""/>
      <w:lvlJc w:val="left"/>
      <w:pPr>
        <w:tabs>
          <w:tab w:val="num" w:pos="4272"/>
        </w:tabs>
        <w:ind w:left="4272" w:hanging="360"/>
      </w:pPr>
      <w:rPr>
        <w:rFonts w:ascii="Symbol" w:hAnsi="Symbol" w:hint="default"/>
        <w:sz w:val="20"/>
      </w:rPr>
    </w:lvl>
    <w:lvl w:ilvl="6" w:tentative="1">
      <w:start w:val="1"/>
      <w:numFmt w:val="bullet"/>
      <w:lvlText w:val=""/>
      <w:lvlJc w:val="left"/>
      <w:pPr>
        <w:tabs>
          <w:tab w:val="num" w:pos="4992"/>
        </w:tabs>
        <w:ind w:left="4992" w:hanging="360"/>
      </w:pPr>
      <w:rPr>
        <w:rFonts w:ascii="Symbol" w:hAnsi="Symbol" w:hint="default"/>
        <w:sz w:val="20"/>
      </w:rPr>
    </w:lvl>
    <w:lvl w:ilvl="7" w:tentative="1">
      <w:start w:val="1"/>
      <w:numFmt w:val="bullet"/>
      <w:lvlText w:val=""/>
      <w:lvlJc w:val="left"/>
      <w:pPr>
        <w:tabs>
          <w:tab w:val="num" w:pos="5712"/>
        </w:tabs>
        <w:ind w:left="5712" w:hanging="360"/>
      </w:pPr>
      <w:rPr>
        <w:rFonts w:ascii="Symbol" w:hAnsi="Symbol" w:hint="default"/>
        <w:sz w:val="20"/>
      </w:rPr>
    </w:lvl>
    <w:lvl w:ilvl="8" w:tentative="1">
      <w:start w:val="1"/>
      <w:numFmt w:val="bullet"/>
      <w:lvlText w:val=""/>
      <w:lvlJc w:val="left"/>
      <w:pPr>
        <w:tabs>
          <w:tab w:val="num" w:pos="6432"/>
        </w:tabs>
        <w:ind w:left="6432" w:hanging="360"/>
      </w:pPr>
      <w:rPr>
        <w:rFonts w:ascii="Symbol" w:hAnsi="Symbol" w:hint="default"/>
        <w:sz w:val="20"/>
      </w:rPr>
    </w:lvl>
  </w:abstractNum>
  <w:num w:numId="1">
    <w:abstractNumId w:val="19"/>
  </w:num>
  <w:num w:numId="2">
    <w:abstractNumId w:val="5"/>
  </w:num>
  <w:num w:numId="3">
    <w:abstractNumId w:val="1"/>
  </w:num>
  <w:num w:numId="4">
    <w:abstractNumId w:val="6"/>
  </w:num>
  <w:num w:numId="5">
    <w:abstractNumId w:val="3"/>
  </w:num>
  <w:num w:numId="6">
    <w:abstractNumId w:val="28"/>
  </w:num>
  <w:num w:numId="7">
    <w:abstractNumId w:val="9"/>
  </w:num>
  <w:num w:numId="8">
    <w:abstractNumId w:val="25"/>
  </w:num>
  <w:num w:numId="9">
    <w:abstractNumId w:val="11"/>
  </w:num>
  <w:num w:numId="10">
    <w:abstractNumId w:val="2"/>
  </w:num>
  <w:num w:numId="11">
    <w:abstractNumId w:val="12"/>
  </w:num>
  <w:num w:numId="12">
    <w:abstractNumId w:val="10"/>
  </w:num>
  <w:num w:numId="13">
    <w:abstractNumId w:val="20"/>
  </w:num>
  <w:num w:numId="14">
    <w:abstractNumId w:val="15"/>
  </w:num>
  <w:num w:numId="15">
    <w:abstractNumId w:val="8"/>
  </w:num>
  <w:num w:numId="16">
    <w:abstractNumId w:val="18"/>
  </w:num>
  <w:num w:numId="17">
    <w:abstractNumId w:val="14"/>
  </w:num>
  <w:num w:numId="18">
    <w:abstractNumId w:val="4"/>
  </w:num>
  <w:num w:numId="19">
    <w:abstractNumId w:val="26"/>
  </w:num>
  <w:num w:numId="20">
    <w:abstractNumId w:val="23"/>
  </w:num>
  <w:num w:numId="21">
    <w:abstractNumId w:val="13"/>
  </w:num>
  <w:num w:numId="22">
    <w:abstractNumId w:val="16"/>
  </w:num>
  <w:num w:numId="23">
    <w:abstractNumId w:val="0"/>
  </w:num>
  <w:num w:numId="24">
    <w:abstractNumId w:val="21"/>
  </w:num>
  <w:num w:numId="25">
    <w:abstractNumId w:val="22"/>
  </w:num>
  <w:num w:numId="26">
    <w:abstractNumId w:val="27"/>
  </w:num>
  <w:num w:numId="27">
    <w:abstractNumId w:val="17"/>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25"/>
    <w:rsid w:val="00006DB8"/>
    <w:rsid w:val="00010E07"/>
    <w:rsid w:val="00013888"/>
    <w:rsid w:val="00015C4F"/>
    <w:rsid w:val="00017FC5"/>
    <w:rsid w:val="000258EE"/>
    <w:rsid w:val="000275AE"/>
    <w:rsid w:val="0003047F"/>
    <w:rsid w:val="00031833"/>
    <w:rsid w:val="00033F5E"/>
    <w:rsid w:val="000352C8"/>
    <w:rsid w:val="00043C8F"/>
    <w:rsid w:val="00047EF9"/>
    <w:rsid w:val="00050916"/>
    <w:rsid w:val="0005120B"/>
    <w:rsid w:val="00054811"/>
    <w:rsid w:val="0005559A"/>
    <w:rsid w:val="000615BA"/>
    <w:rsid w:val="000647E3"/>
    <w:rsid w:val="00065101"/>
    <w:rsid w:val="0007129C"/>
    <w:rsid w:val="0007236C"/>
    <w:rsid w:val="00076A20"/>
    <w:rsid w:val="0008146C"/>
    <w:rsid w:val="000817CC"/>
    <w:rsid w:val="00082952"/>
    <w:rsid w:val="000840BA"/>
    <w:rsid w:val="000844E6"/>
    <w:rsid w:val="00085640"/>
    <w:rsid w:val="000877EA"/>
    <w:rsid w:val="000920A4"/>
    <w:rsid w:val="00092389"/>
    <w:rsid w:val="00092FFA"/>
    <w:rsid w:val="00097128"/>
    <w:rsid w:val="000A0006"/>
    <w:rsid w:val="000A4F48"/>
    <w:rsid w:val="000A5193"/>
    <w:rsid w:val="000A61A5"/>
    <w:rsid w:val="000A6FB5"/>
    <w:rsid w:val="000B3BE1"/>
    <w:rsid w:val="000B7ABE"/>
    <w:rsid w:val="000C2CFF"/>
    <w:rsid w:val="000D06FC"/>
    <w:rsid w:val="000D14F6"/>
    <w:rsid w:val="000D1D3D"/>
    <w:rsid w:val="000D2490"/>
    <w:rsid w:val="000D349C"/>
    <w:rsid w:val="000D4284"/>
    <w:rsid w:val="000D66A8"/>
    <w:rsid w:val="000D6898"/>
    <w:rsid w:val="000D7A58"/>
    <w:rsid w:val="000E3346"/>
    <w:rsid w:val="000E3765"/>
    <w:rsid w:val="000E37B4"/>
    <w:rsid w:val="000E37D1"/>
    <w:rsid w:val="000E37F9"/>
    <w:rsid w:val="000E5F5F"/>
    <w:rsid w:val="000F40D6"/>
    <w:rsid w:val="000F779D"/>
    <w:rsid w:val="0010094E"/>
    <w:rsid w:val="00104328"/>
    <w:rsid w:val="00105391"/>
    <w:rsid w:val="0010602F"/>
    <w:rsid w:val="00110CB1"/>
    <w:rsid w:val="0011285F"/>
    <w:rsid w:val="00113184"/>
    <w:rsid w:val="001146CC"/>
    <w:rsid w:val="00115A02"/>
    <w:rsid w:val="00120A8E"/>
    <w:rsid w:val="00122263"/>
    <w:rsid w:val="00125126"/>
    <w:rsid w:val="0012560E"/>
    <w:rsid w:val="00126FA1"/>
    <w:rsid w:val="00127063"/>
    <w:rsid w:val="00133002"/>
    <w:rsid w:val="00135495"/>
    <w:rsid w:val="00147C2D"/>
    <w:rsid w:val="0015177C"/>
    <w:rsid w:val="001547C1"/>
    <w:rsid w:val="001549C3"/>
    <w:rsid w:val="001564A7"/>
    <w:rsid w:val="00157F45"/>
    <w:rsid w:val="00160A32"/>
    <w:rsid w:val="001645A4"/>
    <w:rsid w:val="00170966"/>
    <w:rsid w:val="00171A08"/>
    <w:rsid w:val="00175D23"/>
    <w:rsid w:val="001819D2"/>
    <w:rsid w:val="00186CD5"/>
    <w:rsid w:val="0019001F"/>
    <w:rsid w:val="0019290B"/>
    <w:rsid w:val="00195915"/>
    <w:rsid w:val="001A437D"/>
    <w:rsid w:val="001A5127"/>
    <w:rsid w:val="001B0912"/>
    <w:rsid w:val="001B0E28"/>
    <w:rsid w:val="001B10BE"/>
    <w:rsid w:val="001B153C"/>
    <w:rsid w:val="001B31D0"/>
    <w:rsid w:val="001B56AB"/>
    <w:rsid w:val="001C0A60"/>
    <w:rsid w:val="001C0A71"/>
    <w:rsid w:val="001C5738"/>
    <w:rsid w:val="001C694D"/>
    <w:rsid w:val="001C6EBA"/>
    <w:rsid w:val="001D152B"/>
    <w:rsid w:val="001D1A5E"/>
    <w:rsid w:val="001D5064"/>
    <w:rsid w:val="001D72E3"/>
    <w:rsid w:val="001E108C"/>
    <w:rsid w:val="001E19A9"/>
    <w:rsid w:val="001E563B"/>
    <w:rsid w:val="001F050A"/>
    <w:rsid w:val="001F3823"/>
    <w:rsid w:val="001F4858"/>
    <w:rsid w:val="001F535D"/>
    <w:rsid w:val="001F712D"/>
    <w:rsid w:val="00200A83"/>
    <w:rsid w:val="00200E28"/>
    <w:rsid w:val="00203C22"/>
    <w:rsid w:val="0020653B"/>
    <w:rsid w:val="00210D23"/>
    <w:rsid w:val="0021278F"/>
    <w:rsid w:val="002131A0"/>
    <w:rsid w:val="002139CD"/>
    <w:rsid w:val="00217DEC"/>
    <w:rsid w:val="00222DDD"/>
    <w:rsid w:val="00224536"/>
    <w:rsid w:val="002269A6"/>
    <w:rsid w:val="0023119C"/>
    <w:rsid w:val="00231DD4"/>
    <w:rsid w:val="00232113"/>
    <w:rsid w:val="00235288"/>
    <w:rsid w:val="00236F9D"/>
    <w:rsid w:val="00242647"/>
    <w:rsid w:val="00242C86"/>
    <w:rsid w:val="00243EA1"/>
    <w:rsid w:val="0024533A"/>
    <w:rsid w:val="002475BD"/>
    <w:rsid w:val="00247EF1"/>
    <w:rsid w:val="002505AB"/>
    <w:rsid w:val="00260AF1"/>
    <w:rsid w:val="002614DA"/>
    <w:rsid w:val="00262891"/>
    <w:rsid w:val="002652B8"/>
    <w:rsid w:val="002660C0"/>
    <w:rsid w:val="00276331"/>
    <w:rsid w:val="00276C87"/>
    <w:rsid w:val="00277246"/>
    <w:rsid w:val="00280F95"/>
    <w:rsid w:val="00287337"/>
    <w:rsid w:val="0029020C"/>
    <w:rsid w:val="00292C78"/>
    <w:rsid w:val="0029360B"/>
    <w:rsid w:val="002949DC"/>
    <w:rsid w:val="002A2A84"/>
    <w:rsid w:val="002A39FA"/>
    <w:rsid w:val="002A3EDD"/>
    <w:rsid w:val="002A5E17"/>
    <w:rsid w:val="002B11A7"/>
    <w:rsid w:val="002B1B37"/>
    <w:rsid w:val="002B299F"/>
    <w:rsid w:val="002B33A3"/>
    <w:rsid w:val="002B406D"/>
    <w:rsid w:val="002C225D"/>
    <w:rsid w:val="002D0722"/>
    <w:rsid w:val="002D10AE"/>
    <w:rsid w:val="002D1C0F"/>
    <w:rsid w:val="002D3683"/>
    <w:rsid w:val="002D570C"/>
    <w:rsid w:val="002E5702"/>
    <w:rsid w:val="002F0F4B"/>
    <w:rsid w:val="002F3B05"/>
    <w:rsid w:val="002F6C91"/>
    <w:rsid w:val="00301C83"/>
    <w:rsid w:val="00303B1B"/>
    <w:rsid w:val="003040A8"/>
    <w:rsid w:val="0031243D"/>
    <w:rsid w:val="00314856"/>
    <w:rsid w:val="00320E6F"/>
    <w:rsid w:val="00321005"/>
    <w:rsid w:val="003359B0"/>
    <w:rsid w:val="00337CB7"/>
    <w:rsid w:val="003455BA"/>
    <w:rsid w:val="00346519"/>
    <w:rsid w:val="00346B8D"/>
    <w:rsid w:val="0035084E"/>
    <w:rsid w:val="00353FB0"/>
    <w:rsid w:val="00354112"/>
    <w:rsid w:val="00355041"/>
    <w:rsid w:val="003574B8"/>
    <w:rsid w:val="0036510F"/>
    <w:rsid w:val="0036750C"/>
    <w:rsid w:val="0037221E"/>
    <w:rsid w:val="003801FE"/>
    <w:rsid w:val="003949F3"/>
    <w:rsid w:val="003A13E6"/>
    <w:rsid w:val="003A1B73"/>
    <w:rsid w:val="003A376A"/>
    <w:rsid w:val="003A69D3"/>
    <w:rsid w:val="003B1ADF"/>
    <w:rsid w:val="003B36E0"/>
    <w:rsid w:val="003C4442"/>
    <w:rsid w:val="003D2B0C"/>
    <w:rsid w:val="003D44EB"/>
    <w:rsid w:val="003D63DD"/>
    <w:rsid w:val="003D6695"/>
    <w:rsid w:val="003D6842"/>
    <w:rsid w:val="003D7EB2"/>
    <w:rsid w:val="003E0FEA"/>
    <w:rsid w:val="003E5A12"/>
    <w:rsid w:val="003E6A46"/>
    <w:rsid w:val="003F08F4"/>
    <w:rsid w:val="003F1846"/>
    <w:rsid w:val="003F73BA"/>
    <w:rsid w:val="00402F74"/>
    <w:rsid w:val="00404BDA"/>
    <w:rsid w:val="00407CDF"/>
    <w:rsid w:val="00411D08"/>
    <w:rsid w:val="00416497"/>
    <w:rsid w:val="00416B6E"/>
    <w:rsid w:val="00421817"/>
    <w:rsid w:val="00422DD4"/>
    <w:rsid w:val="00422F63"/>
    <w:rsid w:val="00426236"/>
    <w:rsid w:val="00426D4D"/>
    <w:rsid w:val="00431690"/>
    <w:rsid w:val="0043184A"/>
    <w:rsid w:val="00436B0B"/>
    <w:rsid w:val="00444009"/>
    <w:rsid w:val="00451B77"/>
    <w:rsid w:val="00455B0A"/>
    <w:rsid w:val="004579EE"/>
    <w:rsid w:val="00464A1B"/>
    <w:rsid w:val="004730B4"/>
    <w:rsid w:val="004736BE"/>
    <w:rsid w:val="00477977"/>
    <w:rsid w:val="00477AE3"/>
    <w:rsid w:val="004800ED"/>
    <w:rsid w:val="0048260F"/>
    <w:rsid w:val="004877B9"/>
    <w:rsid w:val="00491AB8"/>
    <w:rsid w:val="004926C3"/>
    <w:rsid w:val="004970BB"/>
    <w:rsid w:val="00497A22"/>
    <w:rsid w:val="004A149F"/>
    <w:rsid w:val="004A28EA"/>
    <w:rsid w:val="004B061E"/>
    <w:rsid w:val="004B3DD5"/>
    <w:rsid w:val="004B58D8"/>
    <w:rsid w:val="004B7A0F"/>
    <w:rsid w:val="004C5D94"/>
    <w:rsid w:val="004D3877"/>
    <w:rsid w:val="004D74E2"/>
    <w:rsid w:val="004D7D74"/>
    <w:rsid w:val="004E49BB"/>
    <w:rsid w:val="004E55D9"/>
    <w:rsid w:val="004E7890"/>
    <w:rsid w:val="004F0EDE"/>
    <w:rsid w:val="004F0F25"/>
    <w:rsid w:val="004F5676"/>
    <w:rsid w:val="004F5CCD"/>
    <w:rsid w:val="00500039"/>
    <w:rsid w:val="00502738"/>
    <w:rsid w:val="005256D6"/>
    <w:rsid w:val="00532169"/>
    <w:rsid w:val="00534B9C"/>
    <w:rsid w:val="005414F8"/>
    <w:rsid w:val="00542438"/>
    <w:rsid w:val="00543AC0"/>
    <w:rsid w:val="00543EBF"/>
    <w:rsid w:val="0054481F"/>
    <w:rsid w:val="00545637"/>
    <w:rsid w:val="00552402"/>
    <w:rsid w:val="005532AC"/>
    <w:rsid w:val="00553F2F"/>
    <w:rsid w:val="00556141"/>
    <w:rsid w:val="0056444A"/>
    <w:rsid w:val="00564D4D"/>
    <w:rsid w:val="0057161A"/>
    <w:rsid w:val="005739E2"/>
    <w:rsid w:val="005812A4"/>
    <w:rsid w:val="00583CED"/>
    <w:rsid w:val="00586DAE"/>
    <w:rsid w:val="0059259D"/>
    <w:rsid w:val="005944BA"/>
    <w:rsid w:val="00594AC6"/>
    <w:rsid w:val="0059521E"/>
    <w:rsid w:val="005971C9"/>
    <w:rsid w:val="005A3E95"/>
    <w:rsid w:val="005A4ADE"/>
    <w:rsid w:val="005A5C5F"/>
    <w:rsid w:val="005B27BA"/>
    <w:rsid w:val="005B33C7"/>
    <w:rsid w:val="005B3AF6"/>
    <w:rsid w:val="005B62BF"/>
    <w:rsid w:val="005C2D9F"/>
    <w:rsid w:val="005C30B8"/>
    <w:rsid w:val="005C3EC6"/>
    <w:rsid w:val="005C6AC8"/>
    <w:rsid w:val="005D154A"/>
    <w:rsid w:val="005D214B"/>
    <w:rsid w:val="005D363D"/>
    <w:rsid w:val="005D66CA"/>
    <w:rsid w:val="005D71ED"/>
    <w:rsid w:val="005E0484"/>
    <w:rsid w:val="005E0E5D"/>
    <w:rsid w:val="005E1D06"/>
    <w:rsid w:val="005E5B84"/>
    <w:rsid w:val="005F088A"/>
    <w:rsid w:val="005F1827"/>
    <w:rsid w:val="005F328C"/>
    <w:rsid w:val="005F3FC6"/>
    <w:rsid w:val="005F66C9"/>
    <w:rsid w:val="005F7C67"/>
    <w:rsid w:val="00600CAA"/>
    <w:rsid w:val="0060447E"/>
    <w:rsid w:val="0060692C"/>
    <w:rsid w:val="00606BCB"/>
    <w:rsid w:val="00613161"/>
    <w:rsid w:val="006147C1"/>
    <w:rsid w:val="006156A9"/>
    <w:rsid w:val="006174B1"/>
    <w:rsid w:val="0062238F"/>
    <w:rsid w:val="006259D9"/>
    <w:rsid w:val="0063023F"/>
    <w:rsid w:val="00640269"/>
    <w:rsid w:val="006408CB"/>
    <w:rsid w:val="00641B67"/>
    <w:rsid w:val="00642354"/>
    <w:rsid w:val="00643D49"/>
    <w:rsid w:val="00654BFB"/>
    <w:rsid w:val="00656838"/>
    <w:rsid w:val="00660A19"/>
    <w:rsid w:val="00662804"/>
    <w:rsid w:val="00663DB2"/>
    <w:rsid w:val="006661DD"/>
    <w:rsid w:val="0066664B"/>
    <w:rsid w:val="006670C0"/>
    <w:rsid w:val="0066737D"/>
    <w:rsid w:val="00667886"/>
    <w:rsid w:val="0066796C"/>
    <w:rsid w:val="00670E04"/>
    <w:rsid w:val="006741DF"/>
    <w:rsid w:val="00674507"/>
    <w:rsid w:val="006747C4"/>
    <w:rsid w:val="00677FFC"/>
    <w:rsid w:val="006804E7"/>
    <w:rsid w:val="00684EDE"/>
    <w:rsid w:val="006877E2"/>
    <w:rsid w:val="00692C2F"/>
    <w:rsid w:val="0069441D"/>
    <w:rsid w:val="006A6CA4"/>
    <w:rsid w:val="006A7B96"/>
    <w:rsid w:val="006B542E"/>
    <w:rsid w:val="006C3969"/>
    <w:rsid w:val="006C5933"/>
    <w:rsid w:val="006C5977"/>
    <w:rsid w:val="006C7B12"/>
    <w:rsid w:val="006D4937"/>
    <w:rsid w:val="006E2FF8"/>
    <w:rsid w:val="006E34C2"/>
    <w:rsid w:val="006E39D3"/>
    <w:rsid w:val="006E6ECC"/>
    <w:rsid w:val="006E7520"/>
    <w:rsid w:val="006F37BC"/>
    <w:rsid w:val="006F5B52"/>
    <w:rsid w:val="006F6076"/>
    <w:rsid w:val="006F646D"/>
    <w:rsid w:val="006F6C71"/>
    <w:rsid w:val="00703881"/>
    <w:rsid w:val="00704C1E"/>
    <w:rsid w:val="007060F4"/>
    <w:rsid w:val="00713859"/>
    <w:rsid w:val="007157C2"/>
    <w:rsid w:val="00724E78"/>
    <w:rsid w:val="00725601"/>
    <w:rsid w:val="00726908"/>
    <w:rsid w:val="00733BD7"/>
    <w:rsid w:val="0073727F"/>
    <w:rsid w:val="00740AAD"/>
    <w:rsid w:val="0074271A"/>
    <w:rsid w:val="00744EF4"/>
    <w:rsid w:val="00745199"/>
    <w:rsid w:val="00752552"/>
    <w:rsid w:val="00766757"/>
    <w:rsid w:val="007673BB"/>
    <w:rsid w:val="00770A01"/>
    <w:rsid w:val="00771384"/>
    <w:rsid w:val="00774E26"/>
    <w:rsid w:val="00775480"/>
    <w:rsid w:val="00777A97"/>
    <w:rsid w:val="0078645F"/>
    <w:rsid w:val="00786690"/>
    <w:rsid w:val="0079055A"/>
    <w:rsid w:val="007913C7"/>
    <w:rsid w:val="00792435"/>
    <w:rsid w:val="00795376"/>
    <w:rsid w:val="00796061"/>
    <w:rsid w:val="007A0E60"/>
    <w:rsid w:val="007A4F33"/>
    <w:rsid w:val="007A5AC9"/>
    <w:rsid w:val="007B4F6F"/>
    <w:rsid w:val="007B4FEA"/>
    <w:rsid w:val="007C09F1"/>
    <w:rsid w:val="007C2DFB"/>
    <w:rsid w:val="007C319D"/>
    <w:rsid w:val="007C40B0"/>
    <w:rsid w:val="007D099E"/>
    <w:rsid w:val="007D1D64"/>
    <w:rsid w:val="007D3014"/>
    <w:rsid w:val="007D56B1"/>
    <w:rsid w:val="007D5B29"/>
    <w:rsid w:val="007E4659"/>
    <w:rsid w:val="007E5B3F"/>
    <w:rsid w:val="007E7209"/>
    <w:rsid w:val="008036A0"/>
    <w:rsid w:val="0080454A"/>
    <w:rsid w:val="00806568"/>
    <w:rsid w:val="00806F5A"/>
    <w:rsid w:val="008229AC"/>
    <w:rsid w:val="008261F1"/>
    <w:rsid w:val="008304D7"/>
    <w:rsid w:val="00836A22"/>
    <w:rsid w:val="00837A3A"/>
    <w:rsid w:val="00840B5E"/>
    <w:rsid w:val="00842FFB"/>
    <w:rsid w:val="00843348"/>
    <w:rsid w:val="008544C2"/>
    <w:rsid w:val="00855B4C"/>
    <w:rsid w:val="00855D45"/>
    <w:rsid w:val="008614DE"/>
    <w:rsid w:val="00861586"/>
    <w:rsid w:val="00871A69"/>
    <w:rsid w:val="00874F7B"/>
    <w:rsid w:val="00876641"/>
    <w:rsid w:val="008773F5"/>
    <w:rsid w:val="00877CC4"/>
    <w:rsid w:val="00881062"/>
    <w:rsid w:val="0088264A"/>
    <w:rsid w:val="00886513"/>
    <w:rsid w:val="00887B04"/>
    <w:rsid w:val="00887BDB"/>
    <w:rsid w:val="00890E45"/>
    <w:rsid w:val="00891DEE"/>
    <w:rsid w:val="00894E5F"/>
    <w:rsid w:val="008A3778"/>
    <w:rsid w:val="008A39A9"/>
    <w:rsid w:val="008B10EC"/>
    <w:rsid w:val="008B1D27"/>
    <w:rsid w:val="008B29EF"/>
    <w:rsid w:val="008B7F8F"/>
    <w:rsid w:val="008C1F62"/>
    <w:rsid w:val="008C593D"/>
    <w:rsid w:val="008C748B"/>
    <w:rsid w:val="008D1F07"/>
    <w:rsid w:val="008D6574"/>
    <w:rsid w:val="008D65AD"/>
    <w:rsid w:val="008E0622"/>
    <w:rsid w:val="008E3852"/>
    <w:rsid w:val="008F3354"/>
    <w:rsid w:val="008F51DB"/>
    <w:rsid w:val="008F6DBE"/>
    <w:rsid w:val="0090012F"/>
    <w:rsid w:val="0090180D"/>
    <w:rsid w:val="00901CD1"/>
    <w:rsid w:val="0090261D"/>
    <w:rsid w:val="009037F6"/>
    <w:rsid w:val="009051F6"/>
    <w:rsid w:val="00910358"/>
    <w:rsid w:val="00911E44"/>
    <w:rsid w:val="0091393C"/>
    <w:rsid w:val="009143AD"/>
    <w:rsid w:val="009153A9"/>
    <w:rsid w:val="009320F3"/>
    <w:rsid w:val="009330B8"/>
    <w:rsid w:val="00940F07"/>
    <w:rsid w:val="00941127"/>
    <w:rsid w:val="0094633E"/>
    <w:rsid w:val="00955AEB"/>
    <w:rsid w:val="009611CC"/>
    <w:rsid w:val="0096679D"/>
    <w:rsid w:val="0096700C"/>
    <w:rsid w:val="00974B27"/>
    <w:rsid w:val="00976B43"/>
    <w:rsid w:val="00980109"/>
    <w:rsid w:val="0098075B"/>
    <w:rsid w:val="009814D5"/>
    <w:rsid w:val="00983222"/>
    <w:rsid w:val="00983C07"/>
    <w:rsid w:val="0099269B"/>
    <w:rsid w:val="00993347"/>
    <w:rsid w:val="009B1290"/>
    <w:rsid w:val="009B6F7A"/>
    <w:rsid w:val="009C180C"/>
    <w:rsid w:val="009C5B06"/>
    <w:rsid w:val="009D097B"/>
    <w:rsid w:val="009D3692"/>
    <w:rsid w:val="009D4929"/>
    <w:rsid w:val="009E3C54"/>
    <w:rsid w:val="009E735A"/>
    <w:rsid w:val="009F1899"/>
    <w:rsid w:val="009F3E1F"/>
    <w:rsid w:val="009F494A"/>
    <w:rsid w:val="009F4B62"/>
    <w:rsid w:val="00A0385A"/>
    <w:rsid w:val="00A04324"/>
    <w:rsid w:val="00A045A0"/>
    <w:rsid w:val="00A168C4"/>
    <w:rsid w:val="00A17E7F"/>
    <w:rsid w:val="00A24770"/>
    <w:rsid w:val="00A27AAF"/>
    <w:rsid w:val="00A30543"/>
    <w:rsid w:val="00A36420"/>
    <w:rsid w:val="00A415D0"/>
    <w:rsid w:val="00A4261E"/>
    <w:rsid w:val="00A447DB"/>
    <w:rsid w:val="00A45EAB"/>
    <w:rsid w:val="00A46EB2"/>
    <w:rsid w:val="00A47159"/>
    <w:rsid w:val="00A5101A"/>
    <w:rsid w:val="00A5138A"/>
    <w:rsid w:val="00A52190"/>
    <w:rsid w:val="00A554A9"/>
    <w:rsid w:val="00A572F0"/>
    <w:rsid w:val="00A61C28"/>
    <w:rsid w:val="00A623BE"/>
    <w:rsid w:val="00A632AF"/>
    <w:rsid w:val="00A7004E"/>
    <w:rsid w:val="00A70892"/>
    <w:rsid w:val="00A82EB6"/>
    <w:rsid w:val="00A85116"/>
    <w:rsid w:val="00A86DC1"/>
    <w:rsid w:val="00A8706B"/>
    <w:rsid w:val="00A915EC"/>
    <w:rsid w:val="00AA2099"/>
    <w:rsid w:val="00AA73FF"/>
    <w:rsid w:val="00AA754B"/>
    <w:rsid w:val="00AA7F0C"/>
    <w:rsid w:val="00AB2598"/>
    <w:rsid w:val="00AB28C6"/>
    <w:rsid w:val="00AB3C34"/>
    <w:rsid w:val="00AB7648"/>
    <w:rsid w:val="00AC4258"/>
    <w:rsid w:val="00AD3B4C"/>
    <w:rsid w:val="00AD57B7"/>
    <w:rsid w:val="00AD6A68"/>
    <w:rsid w:val="00AE03EC"/>
    <w:rsid w:val="00AE5278"/>
    <w:rsid w:val="00AE76A7"/>
    <w:rsid w:val="00AF233B"/>
    <w:rsid w:val="00AF3CA6"/>
    <w:rsid w:val="00AF525F"/>
    <w:rsid w:val="00B04888"/>
    <w:rsid w:val="00B06212"/>
    <w:rsid w:val="00B07ECE"/>
    <w:rsid w:val="00B11A9A"/>
    <w:rsid w:val="00B11ECA"/>
    <w:rsid w:val="00B129A9"/>
    <w:rsid w:val="00B14F3E"/>
    <w:rsid w:val="00B157EC"/>
    <w:rsid w:val="00B2336B"/>
    <w:rsid w:val="00B31DB1"/>
    <w:rsid w:val="00B35A17"/>
    <w:rsid w:val="00B3736C"/>
    <w:rsid w:val="00B40F9B"/>
    <w:rsid w:val="00B46BFF"/>
    <w:rsid w:val="00B47DFA"/>
    <w:rsid w:val="00B50394"/>
    <w:rsid w:val="00B541FF"/>
    <w:rsid w:val="00B66217"/>
    <w:rsid w:val="00B67569"/>
    <w:rsid w:val="00B71263"/>
    <w:rsid w:val="00B73D62"/>
    <w:rsid w:val="00B756E8"/>
    <w:rsid w:val="00B77DF5"/>
    <w:rsid w:val="00B80504"/>
    <w:rsid w:val="00B836B2"/>
    <w:rsid w:val="00B84C72"/>
    <w:rsid w:val="00B903EF"/>
    <w:rsid w:val="00B90B4E"/>
    <w:rsid w:val="00B93755"/>
    <w:rsid w:val="00B948B8"/>
    <w:rsid w:val="00B97D3E"/>
    <w:rsid w:val="00B97F42"/>
    <w:rsid w:val="00BA2CFF"/>
    <w:rsid w:val="00BB54AD"/>
    <w:rsid w:val="00BB5A83"/>
    <w:rsid w:val="00BB608E"/>
    <w:rsid w:val="00BC02E8"/>
    <w:rsid w:val="00BC28A1"/>
    <w:rsid w:val="00BC2915"/>
    <w:rsid w:val="00BC6969"/>
    <w:rsid w:val="00BD1ED8"/>
    <w:rsid w:val="00BD2E20"/>
    <w:rsid w:val="00BD3776"/>
    <w:rsid w:val="00BD5A7D"/>
    <w:rsid w:val="00BE17B3"/>
    <w:rsid w:val="00BF6702"/>
    <w:rsid w:val="00C010BF"/>
    <w:rsid w:val="00C05D52"/>
    <w:rsid w:val="00C077B0"/>
    <w:rsid w:val="00C077D9"/>
    <w:rsid w:val="00C137E6"/>
    <w:rsid w:val="00C15F3B"/>
    <w:rsid w:val="00C172B1"/>
    <w:rsid w:val="00C17C5B"/>
    <w:rsid w:val="00C20476"/>
    <w:rsid w:val="00C2453C"/>
    <w:rsid w:val="00C27691"/>
    <w:rsid w:val="00C32FF9"/>
    <w:rsid w:val="00C40C09"/>
    <w:rsid w:val="00C42A54"/>
    <w:rsid w:val="00C44A8D"/>
    <w:rsid w:val="00C541D6"/>
    <w:rsid w:val="00C54CDD"/>
    <w:rsid w:val="00C56A46"/>
    <w:rsid w:val="00C708F1"/>
    <w:rsid w:val="00C7192F"/>
    <w:rsid w:val="00C7712E"/>
    <w:rsid w:val="00C82388"/>
    <w:rsid w:val="00C95715"/>
    <w:rsid w:val="00C97ECF"/>
    <w:rsid w:val="00CA1442"/>
    <w:rsid w:val="00CA504F"/>
    <w:rsid w:val="00CB0C05"/>
    <w:rsid w:val="00CB509C"/>
    <w:rsid w:val="00CC3C78"/>
    <w:rsid w:val="00CC4AE5"/>
    <w:rsid w:val="00CC61B9"/>
    <w:rsid w:val="00CC74ED"/>
    <w:rsid w:val="00CD1A01"/>
    <w:rsid w:val="00CD1E93"/>
    <w:rsid w:val="00CD32D3"/>
    <w:rsid w:val="00CD3D74"/>
    <w:rsid w:val="00CD4E5E"/>
    <w:rsid w:val="00CE4C89"/>
    <w:rsid w:val="00CE5D4A"/>
    <w:rsid w:val="00CE63BE"/>
    <w:rsid w:val="00CE7E02"/>
    <w:rsid w:val="00CF0CF2"/>
    <w:rsid w:val="00D018D4"/>
    <w:rsid w:val="00D01A4A"/>
    <w:rsid w:val="00D02608"/>
    <w:rsid w:val="00D034A5"/>
    <w:rsid w:val="00D06448"/>
    <w:rsid w:val="00D10910"/>
    <w:rsid w:val="00D22230"/>
    <w:rsid w:val="00D23D38"/>
    <w:rsid w:val="00D315F1"/>
    <w:rsid w:val="00D3167C"/>
    <w:rsid w:val="00D3448A"/>
    <w:rsid w:val="00D36B39"/>
    <w:rsid w:val="00D40ACD"/>
    <w:rsid w:val="00D41081"/>
    <w:rsid w:val="00D41E41"/>
    <w:rsid w:val="00D432D1"/>
    <w:rsid w:val="00D43CFB"/>
    <w:rsid w:val="00D46E3A"/>
    <w:rsid w:val="00D5030D"/>
    <w:rsid w:val="00D51D22"/>
    <w:rsid w:val="00D5346A"/>
    <w:rsid w:val="00D541D3"/>
    <w:rsid w:val="00D54649"/>
    <w:rsid w:val="00D54A1E"/>
    <w:rsid w:val="00D55C08"/>
    <w:rsid w:val="00D57D79"/>
    <w:rsid w:val="00D60209"/>
    <w:rsid w:val="00D63C1F"/>
    <w:rsid w:val="00D63C85"/>
    <w:rsid w:val="00D64993"/>
    <w:rsid w:val="00D64B21"/>
    <w:rsid w:val="00D652CE"/>
    <w:rsid w:val="00D66567"/>
    <w:rsid w:val="00D778DD"/>
    <w:rsid w:val="00D77DE3"/>
    <w:rsid w:val="00D82A5C"/>
    <w:rsid w:val="00D83DF6"/>
    <w:rsid w:val="00D85D76"/>
    <w:rsid w:val="00D9118C"/>
    <w:rsid w:val="00D94265"/>
    <w:rsid w:val="00DA0140"/>
    <w:rsid w:val="00DA0D93"/>
    <w:rsid w:val="00DA56EF"/>
    <w:rsid w:val="00DA7234"/>
    <w:rsid w:val="00DC1874"/>
    <w:rsid w:val="00DC3AAD"/>
    <w:rsid w:val="00DC5E63"/>
    <w:rsid w:val="00DC6B41"/>
    <w:rsid w:val="00DC76D3"/>
    <w:rsid w:val="00DD4EA2"/>
    <w:rsid w:val="00DE3F56"/>
    <w:rsid w:val="00DE655E"/>
    <w:rsid w:val="00DF6746"/>
    <w:rsid w:val="00E00DB8"/>
    <w:rsid w:val="00E06F62"/>
    <w:rsid w:val="00E07341"/>
    <w:rsid w:val="00E138A6"/>
    <w:rsid w:val="00E15F35"/>
    <w:rsid w:val="00E22218"/>
    <w:rsid w:val="00E247C5"/>
    <w:rsid w:val="00E2506C"/>
    <w:rsid w:val="00E302A4"/>
    <w:rsid w:val="00E32AC7"/>
    <w:rsid w:val="00E3476B"/>
    <w:rsid w:val="00E44181"/>
    <w:rsid w:val="00E51357"/>
    <w:rsid w:val="00E51968"/>
    <w:rsid w:val="00E60779"/>
    <w:rsid w:val="00E76771"/>
    <w:rsid w:val="00E77B02"/>
    <w:rsid w:val="00E83BC5"/>
    <w:rsid w:val="00E91497"/>
    <w:rsid w:val="00E95271"/>
    <w:rsid w:val="00EA2EC9"/>
    <w:rsid w:val="00EA4622"/>
    <w:rsid w:val="00EA496B"/>
    <w:rsid w:val="00EA5385"/>
    <w:rsid w:val="00EA7544"/>
    <w:rsid w:val="00EB1D90"/>
    <w:rsid w:val="00EB6A80"/>
    <w:rsid w:val="00EC0665"/>
    <w:rsid w:val="00ED1211"/>
    <w:rsid w:val="00ED20AD"/>
    <w:rsid w:val="00ED7256"/>
    <w:rsid w:val="00ED76CE"/>
    <w:rsid w:val="00EE4273"/>
    <w:rsid w:val="00EE63C3"/>
    <w:rsid w:val="00EE70CE"/>
    <w:rsid w:val="00EF077D"/>
    <w:rsid w:val="00EF1402"/>
    <w:rsid w:val="00EF41EE"/>
    <w:rsid w:val="00EF548B"/>
    <w:rsid w:val="00EF6C30"/>
    <w:rsid w:val="00F02234"/>
    <w:rsid w:val="00F0380E"/>
    <w:rsid w:val="00F046A8"/>
    <w:rsid w:val="00F05B5B"/>
    <w:rsid w:val="00F0749C"/>
    <w:rsid w:val="00F07BC8"/>
    <w:rsid w:val="00F101B8"/>
    <w:rsid w:val="00F12EB5"/>
    <w:rsid w:val="00F12F75"/>
    <w:rsid w:val="00F12F9B"/>
    <w:rsid w:val="00F14654"/>
    <w:rsid w:val="00F177E8"/>
    <w:rsid w:val="00F219D9"/>
    <w:rsid w:val="00F3049E"/>
    <w:rsid w:val="00F3060E"/>
    <w:rsid w:val="00F4125C"/>
    <w:rsid w:val="00F42ADC"/>
    <w:rsid w:val="00F42BF3"/>
    <w:rsid w:val="00F43C3F"/>
    <w:rsid w:val="00F46917"/>
    <w:rsid w:val="00F55BEC"/>
    <w:rsid w:val="00F56BD9"/>
    <w:rsid w:val="00F56F6D"/>
    <w:rsid w:val="00F67449"/>
    <w:rsid w:val="00F676F2"/>
    <w:rsid w:val="00F7230A"/>
    <w:rsid w:val="00F72F39"/>
    <w:rsid w:val="00F7458E"/>
    <w:rsid w:val="00F74893"/>
    <w:rsid w:val="00F766F4"/>
    <w:rsid w:val="00F831BE"/>
    <w:rsid w:val="00F84DC4"/>
    <w:rsid w:val="00F8530D"/>
    <w:rsid w:val="00F873F0"/>
    <w:rsid w:val="00F87D61"/>
    <w:rsid w:val="00F9065C"/>
    <w:rsid w:val="00F92A14"/>
    <w:rsid w:val="00F94AE1"/>
    <w:rsid w:val="00F96AB7"/>
    <w:rsid w:val="00FA6037"/>
    <w:rsid w:val="00FB00ED"/>
    <w:rsid w:val="00FB1B38"/>
    <w:rsid w:val="00FB38DC"/>
    <w:rsid w:val="00FC1DE6"/>
    <w:rsid w:val="00FC34AC"/>
    <w:rsid w:val="00FC69F3"/>
    <w:rsid w:val="00FC6A9F"/>
    <w:rsid w:val="00FD06AA"/>
    <w:rsid w:val="00FD25BC"/>
    <w:rsid w:val="00FD3A31"/>
    <w:rsid w:val="00FD5716"/>
    <w:rsid w:val="00FD693C"/>
    <w:rsid w:val="00FD6B05"/>
    <w:rsid w:val="00FD713C"/>
    <w:rsid w:val="00FE08AF"/>
    <w:rsid w:val="00FF403D"/>
    <w:rsid w:val="014DE3DE"/>
    <w:rsid w:val="01805F97"/>
    <w:rsid w:val="01C2626C"/>
    <w:rsid w:val="02A48B7A"/>
    <w:rsid w:val="02B898E2"/>
    <w:rsid w:val="033A2F21"/>
    <w:rsid w:val="03F30150"/>
    <w:rsid w:val="04A685F9"/>
    <w:rsid w:val="04E86949"/>
    <w:rsid w:val="058ED1B1"/>
    <w:rsid w:val="06CA87BD"/>
    <w:rsid w:val="06EB894C"/>
    <w:rsid w:val="0715AF6C"/>
    <w:rsid w:val="0831A3F0"/>
    <w:rsid w:val="0989BC83"/>
    <w:rsid w:val="09B44BF4"/>
    <w:rsid w:val="09CD7451"/>
    <w:rsid w:val="0A5DE856"/>
    <w:rsid w:val="0A5E9B54"/>
    <w:rsid w:val="0AF6DE2B"/>
    <w:rsid w:val="0B169A1E"/>
    <w:rsid w:val="0B2C18A9"/>
    <w:rsid w:val="0BBE7B70"/>
    <w:rsid w:val="0CC15D45"/>
    <w:rsid w:val="0D845978"/>
    <w:rsid w:val="0DE73E21"/>
    <w:rsid w:val="0E083B0C"/>
    <w:rsid w:val="0E975E29"/>
    <w:rsid w:val="0EEF0E7C"/>
    <w:rsid w:val="0FA40B6D"/>
    <w:rsid w:val="0FE70923"/>
    <w:rsid w:val="0FEE16FE"/>
    <w:rsid w:val="11379B0A"/>
    <w:rsid w:val="113FDBCE"/>
    <w:rsid w:val="125888B2"/>
    <w:rsid w:val="1325B7C0"/>
    <w:rsid w:val="134E4981"/>
    <w:rsid w:val="13D3BEF3"/>
    <w:rsid w:val="14236CA4"/>
    <w:rsid w:val="143D5748"/>
    <w:rsid w:val="14E3BFB0"/>
    <w:rsid w:val="15292CB5"/>
    <w:rsid w:val="162D1FAB"/>
    <w:rsid w:val="1774F80A"/>
    <w:rsid w:val="177DE721"/>
    <w:rsid w:val="17A81784"/>
    <w:rsid w:val="181B6072"/>
    <w:rsid w:val="18E05F7B"/>
    <w:rsid w:val="19226250"/>
    <w:rsid w:val="1AF2E6DF"/>
    <w:rsid w:val="1B439E34"/>
    <w:rsid w:val="1B530134"/>
    <w:rsid w:val="1C5A0312"/>
    <w:rsid w:val="1C8EB740"/>
    <w:rsid w:val="1D8154E5"/>
    <w:rsid w:val="1E12BBB6"/>
    <w:rsid w:val="1F9A010C"/>
    <w:rsid w:val="20170F57"/>
    <w:rsid w:val="20BABB70"/>
    <w:rsid w:val="2155AC5A"/>
    <w:rsid w:val="21B96B7D"/>
    <w:rsid w:val="22F17CBB"/>
    <w:rsid w:val="23373CB5"/>
    <w:rsid w:val="252E15A8"/>
    <w:rsid w:val="25BBFA6F"/>
    <w:rsid w:val="266BF08E"/>
    <w:rsid w:val="28E5DB86"/>
    <w:rsid w:val="291F5DBD"/>
    <w:rsid w:val="29C582CD"/>
    <w:rsid w:val="29FDE9CA"/>
    <w:rsid w:val="2B637A63"/>
    <w:rsid w:val="2B711284"/>
    <w:rsid w:val="2B841E9E"/>
    <w:rsid w:val="2BCF3BB0"/>
    <w:rsid w:val="2E4B31D3"/>
    <w:rsid w:val="301A9689"/>
    <w:rsid w:val="301CC70A"/>
    <w:rsid w:val="30D706F7"/>
    <w:rsid w:val="32A2A900"/>
    <w:rsid w:val="32BCC712"/>
    <w:rsid w:val="32C10CE3"/>
    <w:rsid w:val="3362FC0C"/>
    <w:rsid w:val="33DF2DD8"/>
    <w:rsid w:val="34C43306"/>
    <w:rsid w:val="35A95048"/>
    <w:rsid w:val="3653AAD6"/>
    <w:rsid w:val="3883C7BA"/>
    <w:rsid w:val="38EBFE01"/>
    <w:rsid w:val="3A30A9AE"/>
    <w:rsid w:val="3AC7D0B1"/>
    <w:rsid w:val="3AF7019E"/>
    <w:rsid w:val="3B60B3A6"/>
    <w:rsid w:val="3B978675"/>
    <w:rsid w:val="3D80BF36"/>
    <w:rsid w:val="3EFC4CED"/>
    <w:rsid w:val="3F9971A6"/>
    <w:rsid w:val="3FACB091"/>
    <w:rsid w:val="41DD4F75"/>
    <w:rsid w:val="430D8713"/>
    <w:rsid w:val="43958642"/>
    <w:rsid w:val="464B9CE8"/>
    <w:rsid w:val="46AA19DE"/>
    <w:rsid w:val="477CC6EE"/>
    <w:rsid w:val="4880C327"/>
    <w:rsid w:val="4899EB84"/>
    <w:rsid w:val="4982E3C8"/>
    <w:rsid w:val="4B5B635C"/>
    <w:rsid w:val="4BCD24FC"/>
    <w:rsid w:val="4BEB8363"/>
    <w:rsid w:val="4C77749A"/>
    <w:rsid w:val="4D509749"/>
    <w:rsid w:val="4E482A0E"/>
    <w:rsid w:val="5033FB75"/>
    <w:rsid w:val="505B117C"/>
    <w:rsid w:val="505B6C1C"/>
    <w:rsid w:val="506D4FDA"/>
    <w:rsid w:val="50796B45"/>
    <w:rsid w:val="514CCCCF"/>
    <w:rsid w:val="51D95B0C"/>
    <w:rsid w:val="528FA9DE"/>
    <w:rsid w:val="550BA991"/>
    <w:rsid w:val="55330187"/>
    <w:rsid w:val="5665DD02"/>
    <w:rsid w:val="58FEEB62"/>
    <w:rsid w:val="5A4CAE6F"/>
    <w:rsid w:val="5B2AF384"/>
    <w:rsid w:val="5B970437"/>
    <w:rsid w:val="5BAAAB1E"/>
    <w:rsid w:val="5BEF7A80"/>
    <w:rsid w:val="5D7BF1F9"/>
    <w:rsid w:val="5D844F31"/>
    <w:rsid w:val="5EC517C6"/>
    <w:rsid w:val="6141BA84"/>
    <w:rsid w:val="631863CD"/>
    <w:rsid w:val="63931BE0"/>
    <w:rsid w:val="63C89192"/>
    <w:rsid w:val="64795B46"/>
    <w:rsid w:val="64B0972D"/>
    <w:rsid w:val="64B4342E"/>
    <w:rsid w:val="6629B5F3"/>
    <w:rsid w:val="67966D73"/>
    <w:rsid w:val="6860915A"/>
    <w:rsid w:val="6CA40B88"/>
    <w:rsid w:val="6D274A84"/>
    <w:rsid w:val="6D648CCF"/>
    <w:rsid w:val="6ED5F53D"/>
    <w:rsid w:val="6FFED45B"/>
    <w:rsid w:val="705EEB46"/>
    <w:rsid w:val="712A0C2D"/>
    <w:rsid w:val="71742F12"/>
    <w:rsid w:val="76E1A359"/>
    <w:rsid w:val="77B17158"/>
    <w:rsid w:val="78D06CF6"/>
    <w:rsid w:val="7A052D11"/>
    <w:rsid w:val="7AA4D1AC"/>
    <w:rsid w:val="7BDBB47E"/>
    <w:rsid w:val="7C94592E"/>
    <w:rsid w:val="7CDD5763"/>
    <w:rsid w:val="7D61883C"/>
    <w:rsid w:val="7D988DAA"/>
    <w:rsid w:val="7E6E78B2"/>
    <w:rsid w:val="7EFD589D"/>
    <w:rsid w:val="7F894C2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A3C8"/>
  <w15:chartTrackingRefBased/>
  <w15:docId w15:val="{EC062120-EA40-415D-8BEC-EF985EAD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customStyle="1" w:styleId="msonormal0">
    <w:name w:val="msonormal"/>
    <w:basedOn w:val="Normal"/>
    <w:rsid w:val="004F0F25"/>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outlineelement">
    <w:name w:val="outlineelement"/>
    <w:basedOn w:val="Normal"/>
    <w:rsid w:val="004F0F25"/>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paragraph">
    <w:name w:val="paragraph"/>
    <w:basedOn w:val="Normal"/>
    <w:rsid w:val="004F0F25"/>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textrun">
    <w:name w:val="textrun"/>
    <w:basedOn w:val="Standardskriftforavsnitt"/>
    <w:rsid w:val="004F0F25"/>
  </w:style>
  <w:style w:type="character" w:customStyle="1" w:styleId="normaltextrun">
    <w:name w:val="normaltextrun"/>
    <w:basedOn w:val="Standardskriftforavsnitt"/>
    <w:rsid w:val="004F0F25"/>
  </w:style>
  <w:style w:type="character" w:customStyle="1" w:styleId="eop">
    <w:name w:val="eop"/>
    <w:basedOn w:val="Standardskriftforavsnitt"/>
    <w:rsid w:val="004F0F25"/>
  </w:style>
  <w:style w:type="character" w:customStyle="1" w:styleId="contextualspellingandgrammarerror">
    <w:name w:val="contextualspellingandgrammarerror"/>
    <w:basedOn w:val="Standardskriftforavsnitt"/>
    <w:rsid w:val="004F0F25"/>
  </w:style>
  <w:style w:type="character" w:customStyle="1" w:styleId="spellingerror">
    <w:name w:val="spellingerror"/>
    <w:basedOn w:val="Standardskriftforavsnitt"/>
    <w:rsid w:val="004F0F25"/>
  </w:style>
  <w:style w:type="character" w:customStyle="1" w:styleId="tabrun">
    <w:name w:val="tabrun"/>
    <w:basedOn w:val="Standardskriftforavsnitt"/>
    <w:rsid w:val="004F0F25"/>
  </w:style>
  <w:style w:type="character" w:customStyle="1" w:styleId="tabchar">
    <w:name w:val="tabchar"/>
    <w:basedOn w:val="Standardskriftforavsnitt"/>
    <w:rsid w:val="004F0F25"/>
  </w:style>
  <w:style w:type="character" w:customStyle="1" w:styleId="tableaderchars">
    <w:name w:val="tableaderchars"/>
    <w:basedOn w:val="Standardskriftforavsnitt"/>
    <w:rsid w:val="004F0F25"/>
  </w:style>
  <w:style w:type="character" w:customStyle="1" w:styleId="linebreakblob">
    <w:name w:val="linebreakblob"/>
    <w:basedOn w:val="Standardskriftforavsnitt"/>
    <w:rsid w:val="004F0F25"/>
  </w:style>
  <w:style w:type="character" w:customStyle="1" w:styleId="scxw55460607">
    <w:name w:val="scxw55460607"/>
    <w:basedOn w:val="Standardskriftforavsnitt"/>
    <w:rsid w:val="004F0F25"/>
  </w:style>
  <w:style w:type="character" w:customStyle="1" w:styleId="superscript">
    <w:name w:val="superscript"/>
    <w:basedOn w:val="Standardskriftforavsnitt"/>
    <w:rsid w:val="004F0F25"/>
  </w:style>
  <w:style w:type="paragraph" w:styleId="Listeavsnitt">
    <w:name w:val="List Paragraph"/>
    <w:basedOn w:val="Normal"/>
    <w:uiPriority w:val="34"/>
    <w:qFormat/>
    <w:rsid w:val="002A5E17"/>
    <w:pPr>
      <w:ind w:left="720"/>
      <w:contextualSpacing/>
    </w:pPr>
  </w:style>
  <w:style w:type="character" w:styleId="Merknadsreferanse">
    <w:name w:val="annotation reference"/>
    <w:basedOn w:val="Standardskriftforavsnitt"/>
    <w:uiPriority w:val="99"/>
    <w:semiHidden/>
    <w:unhideWhenUsed/>
    <w:rsid w:val="00F12F75"/>
    <w:rPr>
      <w:sz w:val="16"/>
      <w:szCs w:val="16"/>
    </w:rPr>
  </w:style>
  <w:style w:type="paragraph" w:styleId="Merknadstekst">
    <w:name w:val="annotation text"/>
    <w:basedOn w:val="Normal"/>
    <w:link w:val="MerknadstekstTegn"/>
    <w:uiPriority w:val="99"/>
    <w:semiHidden/>
    <w:unhideWhenUsed/>
    <w:rsid w:val="00F12F7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12F7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F12F75"/>
    <w:rPr>
      <w:b/>
      <w:bCs/>
    </w:rPr>
  </w:style>
  <w:style w:type="character" w:customStyle="1" w:styleId="KommentaremneTegn">
    <w:name w:val="Kommentaremne Tegn"/>
    <w:basedOn w:val="MerknadstekstTegn"/>
    <w:link w:val="Kommentaremne"/>
    <w:uiPriority w:val="99"/>
    <w:semiHidden/>
    <w:rsid w:val="00F12F75"/>
    <w:rPr>
      <w:b/>
      <w:bCs/>
      <w:color w:val="000000" w:themeColor="text1"/>
      <w:sz w:val="20"/>
      <w:szCs w:val="20"/>
    </w:rPr>
  </w:style>
  <w:style w:type="character" w:styleId="Fotnotereferanse">
    <w:name w:val="footnote reference"/>
    <w:basedOn w:val="Standardskriftforavsnitt"/>
    <w:uiPriority w:val="99"/>
    <w:unhideWhenUsed/>
    <w:rsid w:val="00F96AB7"/>
    <w:rPr>
      <w:vertAlign w:val="superscript"/>
    </w:rPr>
  </w:style>
  <w:style w:type="paragraph" w:styleId="Fotnotetekst">
    <w:name w:val="footnote text"/>
    <w:basedOn w:val="Normal"/>
    <w:link w:val="FotnotetekstTegn"/>
    <w:uiPriority w:val="99"/>
    <w:unhideWhenUsed/>
    <w:rsid w:val="007C09F1"/>
    <w:pPr>
      <w:spacing w:after="0" w:line="240" w:lineRule="auto"/>
    </w:pPr>
    <w:rPr>
      <w:sz w:val="20"/>
      <w:szCs w:val="20"/>
    </w:rPr>
  </w:style>
  <w:style w:type="character" w:customStyle="1" w:styleId="FotnotetekstTegn">
    <w:name w:val="Fotnotetekst Tegn"/>
    <w:basedOn w:val="Standardskriftforavsnitt"/>
    <w:link w:val="Fotnotetekst"/>
    <w:uiPriority w:val="99"/>
    <w:rsid w:val="007C09F1"/>
    <w:rPr>
      <w:color w:val="000000" w:themeColor="text1"/>
      <w:sz w:val="20"/>
      <w:szCs w:val="20"/>
    </w:rPr>
  </w:style>
  <w:style w:type="character" w:styleId="Hyperkobling">
    <w:name w:val="Hyperlink"/>
    <w:basedOn w:val="Standardskriftforavsnitt"/>
    <w:uiPriority w:val="99"/>
    <w:unhideWhenUsed/>
    <w:rsid w:val="00CD4E5E"/>
    <w:rPr>
      <w:color w:val="0000FF"/>
      <w:u w:val="single"/>
    </w:rPr>
  </w:style>
  <w:style w:type="paragraph" w:styleId="Sluttnotetekst">
    <w:name w:val="endnote text"/>
    <w:basedOn w:val="Normal"/>
    <w:link w:val="SluttnotetekstTegn"/>
    <w:uiPriority w:val="99"/>
    <w:semiHidden/>
    <w:unhideWhenUsed/>
    <w:rsid w:val="00642354"/>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642354"/>
    <w:rPr>
      <w:color w:val="000000" w:themeColor="text1"/>
      <w:sz w:val="20"/>
      <w:szCs w:val="20"/>
    </w:rPr>
  </w:style>
  <w:style w:type="character" w:styleId="Sluttnotereferanse">
    <w:name w:val="endnote reference"/>
    <w:basedOn w:val="Standardskriftforavsnitt"/>
    <w:uiPriority w:val="99"/>
    <w:semiHidden/>
    <w:unhideWhenUsed/>
    <w:rsid w:val="00642354"/>
    <w:rPr>
      <w:vertAlign w:val="superscript"/>
    </w:rPr>
  </w:style>
  <w:style w:type="table" w:customStyle="1" w:styleId="Tabellrutenett1">
    <w:name w:val="Tabellrutenett1"/>
    <w:basedOn w:val="Vanligtabell"/>
    <w:next w:val="Tabellrutenett"/>
    <w:uiPriority w:val="59"/>
    <w:rsid w:val="00BD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lys">
    <w:name w:val="Grid Table Light"/>
    <w:basedOn w:val="Vanligtabell"/>
    <w:uiPriority w:val="40"/>
    <w:rsid w:val="003D7E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NH1">
    <w:name w:val="toc 1"/>
    <w:basedOn w:val="Normal"/>
    <w:next w:val="Normal"/>
    <w:autoRedefine/>
    <w:uiPriority w:val="39"/>
    <w:unhideWhenUsed/>
    <w:rsid w:val="002660C0"/>
    <w:pPr>
      <w:spacing w:after="100"/>
    </w:pPr>
  </w:style>
  <w:style w:type="paragraph" w:styleId="INNH2">
    <w:name w:val="toc 2"/>
    <w:basedOn w:val="Normal"/>
    <w:next w:val="Normal"/>
    <w:autoRedefine/>
    <w:uiPriority w:val="39"/>
    <w:unhideWhenUsed/>
    <w:rsid w:val="002660C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7761">
      <w:bodyDiv w:val="1"/>
      <w:marLeft w:val="0"/>
      <w:marRight w:val="0"/>
      <w:marTop w:val="0"/>
      <w:marBottom w:val="0"/>
      <w:divBdr>
        <w:top w:val="none" w:sz="0" w:space="0" w:color="auto"/>
        <w:left w:val="none" w:sz="0" w:space="0" w:color="auto"/>
        <w:bottom w:val="none" w:sz="0" w:space="0" w:color="auto"/>
        <w:right w:val="none" w:sz="0" w:space="0" w:color="auto"/>
      </w:divBdr>
    </w:div>
    <w:div w:id="43989370">
      <w:bodyDiv w:val="1"/>
      <w:marLeft w:val="0"/>
      <w:marRight w:val="0"/>
      <w:marTop w:val="0"/>
      <w:marBottom w:val="0"/>
      <w:divBdr>
        <w:top w:val="none" w:sz="0" w:space="0" w:color="auto"/>
        <w:left w:val="none" w:sz="0" w:space="0" w:color="auto"/>
        <w:bottom w:val="none" w:sz="0" w:space="0" w:color="auto"/>
        <w:right w:val="none" w:sz="0" w:space="0" w:color="auto"/>
      </w:divBdr>
    </w:div>
    <w:div w:id="90856243">
      <w:bodyDiv w:val="1"/>
      <w:marLeft w:val="0"/>
      <w:marRight w:val="0"/>
      <w:marTop w:val="0"/>
      <w:marBottom w:val="0"/>
      <w:divBdr>
        <w:top w:val="none" w:sz="0" w:space="0" w:color="auto"/>
        <w:left w:val="none" w:sz="0" w:space="0" w:color="auto"/>
        <w:bottom w:val="none" w:sz="0" w:space="0" w:color="auto"/>
        <w:right w:val="none" w:sz="0" w:space="0" w:color="auto"/>
      </w:divBdr>
    </w:div>
    <w:div w:id="213126404">
      <w:bodyDiv w:val="1"/>
      <w:marLeft w:val="0"/>
      <w:marRight w:val="0"/>
      <w:marTop w:val="0"/>
      <w:marBottom w:val="0"/>
      <w:divBdr>
        <w:top w:val="none" w:sz="0" w:space="0" w:color="auto"/>
        <w:left w:val="none" w:sz="0" w:space="0" w:color="auto"/>
        <w:bottom w:val="none" w:sz="0" w:space="0" w:color="auto"/>
        <w:right w:val="none" w:sz="0" w:space="0" w:color="auto"/>
      </w:divBdr>
    </w:div>
    <w:div w:id="241455029">
      <w:bodyDiv w:val="1"/>
      <w:marLeft w:val="0"/>
      <w:marRight w:val="0"/>
      <w:marTop w:val="0"/>
      <w:marBottom w:val="0"/>
      <w:divBdr>
        <w:top w:val="none" w:sz="0" w:space="0" w:color="auto"/>
        <w:left w:val="none" w:sz="0" w:space="0" w:color="auto"/>
        <w:bottom w:val="none" w:sz="0" w:space="0" w:color="auto"/>
        <w:right w:val="none" w:sz="0" w:space="0" w:color="auto"/>
      </w:divBdr>
    </w:div>
    <w:div w:id="303462309">
      <w:bodyDiv w:val="1"/>
      <w:marLeft w:val="0"/>
      <w:marRight w:val="0"/>
      <w:marTop w:val="0"/>
      <w:marBottom w:val="0"/>
      <w:divBdr>
        <w:top w:val="none" w:sz="0" w:space="0" w:color="auto"/>
        <w:left w:val="none" w:sz="0" w:space="0" w:color="auto"/>
        <w:bottom w:val="none" w:sz="0" w:space="0" w:color="auto"/>
        <w:right w:val="none" w:sz="0" w:space="0" w:color="auto"/>
      </w:divBdr>
    </w:div>
    <w:div w:id="521668482">
      <w:bodyDiv w:val="1"/>
      <w:marLeft w:val="0"/>
      <w:marRight w:val="0"/>
      <w:marTop w:val="0"/>
      <w:marBottom w:val="0"/>
      <w:divBdr>
        <w:top w:val="none" w:sz="0" w:space="0" w:color="auto"/>
        <w:left w:val="none" w:sz="0" w:space="0" w:color="auto"/>
        <w:bottom w:val="none" w:sz="0" w:space="0" w:color="auto"/>
        <w:right w:val="none" w:sz="0" w:space="0" w:color="auto"/>
      </w:divBdr>
    </w:div>
    <w:div w:id="541481985">
      <w:bodyDiv w:val="1"/>
      <w:marLeft w:val="0"/>
      <w:marRight w:val="0"/>
      <w:marTop w:val="0"/>
      <w:marBottom w:val="0"/>
      <w:divBdr>
        <w:top w:val="none" w:sz="0" w:space="0" w:color="auto"/>
        <w:left w:val="none" w:sz="0" w:space="0" w:color="auto"/>
        <w:bottom w:val="none" w:sz="0" w:space="0" w:color="auto"/>
        <w:right w:val="none" w:sz="0" w:space="0" w:color="auto"/>
      </w:divBdr>
    </w:div>
    <w:div w:id="602418071">
      <w:bodyDiv w:val="1"/>
      <w:marLeft w:val="0"/>
      <w:marRight w:val="0"/>
      <w:marTop w:val="0"/>
      <w:marBottom w:val="0"/>
      <w:divBdr>
        <w:top w:val="none" w:sz="0" w:space="0" w:color="auto"/>
        <w:left w:val="none" w:sz="0" w:space="0" w:color="auto"/>
        <w:bottom w:val="none" w:sz="0" w:space="0" w:color="auto"/>
        <w:right w:val="none" w:sz="0" w:space="0" w:color="auto"/>
      </w:divBdr>
      <w:divsChild>
        <w:div w:id="313339591">
          <w:marLeft w:val="0"/>
          <w:marRight w:val="0"/>
          <w:marTop w:val="0"/>
          <w:marBottom w:val="0"/>
          <w:divBdr>
            <w:top w:val="none" w:sz="0" w:space="0" w:color="auto"/>
            <w:left w:val="none" w:sz="0" w:space="0" w:color="auto"/>
            <w:bottom w:val="none" w:sz="0" w:space="0" w:color="auto"/>
            <w:right w:val="none" w:sz="0" w:space="0" w:color="auto"/>
          </w:divBdr>
        </w:div>
        <w:div w:id="1784036470">
          <w:marLeft w:val="0"/>
          <w:marRight w:val="0"/>
          <w:marTop w:val="0"/>
          <w:marBottom w:val="0"/>
          <w:divBdr>
            <w:top w:val="none" w:sz="0" w:space="0" w:color="auto"/>
            <w:left w:val="none" w:sz="0" w:space="0" w:color="auto"/>
            <w:bottom w:val="none" w:sz="0" w:space="0" w:color="auto"/>
            <w:right w:val="none" w:sz="0" w:space="0" w:color="auto"/>
          </w:divBdr>
        </w:div>
      </w:divsChild>
    </w:div>
    <w:div w:id="651641426">
      <w:bodyDiv w:val="1"/>
      <w:marLeft w:val="0"/>
      <w:marRight w:val="0"/>
      <w:marTop w:val="0"/>
      <w:marBottom w:val="0"/>
      <w:divBdr>
        <w:top w:val="none" w:sz="0" w:space="0" w:color="auto"/>
        <w:left w:val="none" w:sz="0" w:space="0" w:color="auto"/>
        <w:bottom w:val="none" w:sz="0" w:space="0" w:color="auto"/>
        <w:right w:val="none" w:sz="0" w:space="0" w:color="auto"/>
      </w:divBdr>
    </w:div>
    <w:div w:id="844594867">
      <w:bodyDiv w:val="1"/>
      <w:marLeft w:val="0"/>
      <w:marRight w:val="0"/>
      <w:marTop w:val="0"/>
      <w:marBottom w:val="0"/>
      <w:divBdr>
        <w:top w:val="none" w:sz="0" w:space="0" w:color="auto"/>
        <w:left w:val="none" w:sz="0" w:space="0" w:color="auto"/>
        <w:bottom w:val="none" w:sz="0" w:space="0" w:color="auto"/>
        <w:right w:val="none" w:sz="0" w:space="0" w:color="auto"/>
      </w:divBdr>
    </w:div>
    <w:div w:id="901529295">
      <w:bodyDiv w:val="1"/>
      <w:marLeft w:val="0"/>
      <w:marRight w:val="0"/>
      <w:marTop w:val="0"/>
      <w:marBottom w:val="0"/>
      <w:divBdr>
        <w:top w:val="none" w:sz="0" w:space="0" w:color="auto"/>
        <w:left w:val="none" w:sz="0" w:space="0" w:color="auto"/>
        <w:bottom w:val="none" w:sz="0" w:space="0" w:color="auto"/>
        <w:right w:val="none" w:sz="0" w:space="0" w:color="auto"/>
      </w:divBdr>
    </w:div>
    <w:div w:id="1128746333">
      <w:bodyDiv w:val="1"/>
      <w:marLeft w:val="0"/>
      <w:marRight w:val="0"/>
      <w:marTop w:val="0"/>
      <w:marBottom w:val="0"/>
      <w:divBdr>
        <w:top w:val="none" w:sz="0" w:space="0" w:color="auto"/>
        <w:left w:val="none" w:sz="0" w:space="0" w:color="auto"/>
        <w:bottom w:val="none" w:sz="0" w:space="0" w:color="auto"/>
        <w:right w:val="none" w:sz="0" w:space="0" w:color="auto"/>
      </w:divBdr>
    </w:div>
    <w:div w:id="1150101246">
      <w:bodyDiv w:val="1"/>
      <w:marLeft w:val="0"/>
      <w:marRight w:val="0"/>
      <w:marTop w:val="0"/>
      <w:marBottom w:val="0"/>
      <w:divBdr>
        <w:top w:val="none" w:sz="0" w:space="0" w:color="auto"/>
        <w:left w:val="none" w:sz="0" w:space="0" w:color="auto"/>
        <w:bottom w:val="none" w:sz="0" w:space="0" w:color="auto"/>
        <w:right w:val="none" w:sz="0" w:space="0" w:color="auto"/>
      </w:divBdr>
    </w:div>
    <w:div w:id="1155074702">
      <w:bodyDiv w:val="1"/>
      <w:marLeft w:val="0"/>
      <w:marRight w:val="0"/>
      <w:marTop w:val="0"/>
      <w:marBottom w:val="0"/>
      <w:divBdr>
        <w:top w:val="none" w:sz="0" w:space="0" w:color="auto"/>
        <w:left w:val="none" w:sz="0" w:space="0" w:color="auto"/>
        <w:bottom w:val="none" w:sz="0" w:space="0" w:color="auto"/>
        <w:right w:val="none" w:sz="0" w:space="0" w:color="auto"/>
      </w:divBdr>
      <w:divsChild>
        <w:div w:id="381832763">
          <w:marLeft w:val="0"/>
          <w:marRight w:val="0"/>
          <w:marTop w:val="0"/>
          <w:marBottom w:val="0"/>
          <w:divBdr>
            <w:top w:val="none" w:sz="0" w:space="0" w:color="auto"/>
            <w:left w:val="none" w:sz="0" w:space="0" w:color="auto"/>
            <w:bottom w:val="none" w:sz="0" w:space="0" w:color="auto"/>
            <w:right w:val="none" w:sz="0" w:space="0" w:color="auto"/>
          </w:divBdr>
        </w:div>
        <w:div w:id="1059934485">
          <w:marLeft w:val="0"/>
          <w:marRight w:val="0"/>
          <w:marTop w:val="0"/>
          <w:marBottom w:val="0"/>
          <w:divBdr>
            <w:top w:val="none" w:sz="0" w:space="0" w:color="auto"/>
            <w:left w:val="none" w:sz="0" w:space="0" w:color="auto"/>
            <w:bottom w:val="none" w:sz="0" w:space="0" w:color="auto"/>
            <w:right w:val="none" w:sz="0" w:space="0" w:color="auto"/>
          </w:divBdr>
        </w:div>
        <w:div w:id="1712265618">
          <w:marLeft w:val="0"/>
          <w:marRight w:val="0"/>
          <w:marTop w:val="0"/>
          <w:marBottom w:val="0"/>
          <w:divBdr>
            <w:top w:val="none" w:sz="0" w:space="0" w:color="auto"/>
            <w:left w:val="none" w:sz="0" w:space="0" w:color="auto"/>
            <w:bottom w:val="none" w:sz="0" w:space="0" w:color="auto"/>
            <w:right w:val="none" w:sz="0" w:space="0" w:color="auto"/>
          </w:divBdr>
        </w:div>
      </w:divsChild>
    </w:div>
    <w:div w:id="1215386543">
      <w:bodyDiv w:val="1"/>
      <w:marLeft w:val="0"/>
      <w:marRight w:val="0"/>
      <w:marTop w:val="0"/>
      <w:marBottom w:val="0"/>
      <w:divBdr>
        <w:top w:val="none" w:sz="0" w:space="0" w:color="auto"/>
        <w:left w:val="none" w:sz="0" w:space="0" w:color="auto"/>
        <w:bottom w:val="none" w:sz="0" w:space="0" w:color="auto"/>
        <w:right w:val="none" w:sz="0" w:space="0" w:color="auto"/>
      </w:divBdr>
    </w:div>
    <w:div w:id="1337197255">
      <w:bodyDiv w:val="1"/>
      <w:marLeft w:val="0"/>
      <w:marRight w:val="0"/>
      <w:marTop w:val="0"/>
      <w:marBottom w:val="0"/>
      <w:divBdr>
        <w:top w:val="none" w:sz="0" w:space="0" w:color="auto"/>
        <w:left w:val="none" w:sz="0" w:space="0" w:color="auto"/>
        <w:bottom w:val="none" w:sz="0" w:space="0" w:color="auto"/>
        <w:right w:val="none" w:sz="0" w:space="0" w:color="auto"/>
      </w:divBdr>
    </w:div>
    <w:div w:id="1390377081">
      <w:bodyDiv w:val="1"/>
      <w:marLeft w:val="0"/>
      <w:marRight w:val="0"/>
      <w:marTop w:val="0"/>
      <w:marBottom w:val="0"/>
      <w:divBdr>
        <w:top w:val="none" w:sz="0" w:space="0" w:color="auto"/>
        <w:left w:val="none" w:sz="0" w:space="0" w:color="auto"/>
        <w:bottom w:val="none" w:sz="0" w:space="0" w:color="auto"/>
        <w:right w:val="none" w:sz="0" w:space="0" w:color="auto"/>
      </w:divBdr>
    </w:div>
    <w:div w:id="1446996544">
      <w:bodyDiv w:val="1"/>
      <w:marLeft w:val="0"/>
      <w:marRight w:val="0"/>
      <w:marTop w:val="0"/>
      <w:marBottom w:val="0"/>
      <w:divBdr>
        <w:top w:val="none" w:sz="0" w:space="0" w:color="auto"/>
        <w:left w:val="none" w:sz="0" w:space="0" w:color="auto"/>
        <w:bottom w:val="none" w:sz="0" w:space="0" w:color="auto"/>
        <w:right w:val="none" w:sz="0" w:space="0" w:color="auto"/>
      </w:divBdr>
    </w:div>
    <w:div w:id="1458253484">
      <w:bodyDiv w:val="1"/>
      <w:marLeft w:val="0"/>
      <w:marRight w:val="0"/>
      <w:marTop w:val="0"/>
      <w:marBottom w:val="0"/>
      <w:divBdr>
        <w:top w:val="none" w:sz="0" w:space="0" w:color="auto"/>
        <w:left w:val="none" w:sz="0" w:space="0" w:color="auto"/>
        <w:bottom w:val="none" w:sz="0" w:space="0" w:color="auto"/>
        <w:right w:val="none" w:sz="0" w:space="0" w:color="auto"/>
      </w:divBdr>
    </w:div>
    <w:div w:id="1642004967">
      <w:bodyDiv w:val="1"/>
      <w:marLeft w:val="0"/>
      <w:marRight w:val="0"/>
      <w:marTop w:val="0"/>
      <w:marBottom w:val="0"/>
      <w:divBdr>
        <w:top w:val="none" w:sz="0" w:space="0" w:color="auto"/>
        <w:left w:val="none" w:sz="0" w:space="0" w:color="auto"/>
        <w:bottom w:val="none" w:sz="0" w:space="0" w:color="auto"/>
        <w:right w:val="none" w:sz="0" w:space="0" w:color="auto"/>
      </w:divBdr>
    </w:div>
    <w:div w:id="1703281890">
      <w:bodyDiv w:val="1"/>
      <w:marLeft w:val="0"/>
      <w:marRight w:val="0"/>
      <w:marTop w:val="0"/>
      <w:marBottom w:val="0"/>
      <w:divBdr>
        <w:top w:val="none" w:sz="0" w:space="0" w:color="auto"/>
        <w:left w:val="none" w:sz="0" w:space="0" w:color="auto"/>
        <w:bottom w:val="none" w:sz="0" w:space="0" w:color="auto"/>
        <w:right w:val="none" w:sz="0" w:space="0" w:color="auto"/>
      </w:divBdr>
    </w:div>
    <w:div w:id="1722056070">
      <w:bodyDiv w:val="1"/>
      <w:marLeft w:val="0"/>
      <w:marRight w:val="0"/>
      <w:marTop w:val="0"/>
      <w:marBottom w:val="0"/>
      <w:divBdr>
        <w:top w:val="none" w:sz="0" w:space="0" w:color="auto"/>
        <w:left w:val="none" w:sz="0" w:space="0" w:color="auto"/>
        <w:bottom w:val="none" w:sz="0" w:space="0" w:color="auto"/>
        <w:right w:val="none" w:sz="0" w:space="0" w:color="auto"/>
      </w:divBdr>
    </w:div>
    <w:div w:id="1931427855">
      <w:bodyDiv w:val="1"/>
      <w:marLeft w:val="0"/>
      <w:marRight w:val="0"/>
      <w:marTop w:val="0"/>
      <w:marBottom w:val="0"/>
      <w:divBdr>
        <w:top w:val="none" w:sz="0" w:space="0" w:color="auto"/>
        <w:left w:val="none" w:sz="0" w:space="0" w:color="auto"/>
        <w:bottom w:val="none" w:sz="0" w:space="0" w:color="auto"/>
        <w:right w:val="none" w:sz="0" w:space="0" w:color="auto"/>
      </w:divBdr>
      <w:divsChild>
        <w:div w:id="967929033">
          <w:marLeft w:val="0"/>
          <w:marRight w:val="0"/>
          <w:marTop w:val="0"/>
          <w:marBottom w:val="0"/>
          <w:divBdr>
            <w:top w:val="none" w:sz="0" w:space="0" w:color="auto"/>
            <w:left w:val="none" w:sz="0" w:space="0" w:color="auto"/>
            <w:bottom w:val="none" w:sz="0" w:space="0" w:color="auto"/>
            <w:right w:val="none" w:sz="0" w:space="0" w:color="auto"/>
          </w:divBdr>
        </w:div>
        <w:div w:id="1821727418">
          <w:marLeft w:val="0"/>
          <w:marRight w:val="0"/>
          <w:marTop w:val="0"/>
          <w:marBottom w:val="0"/>
          <w:divBdr>
            <w:top w:val="none" w:sz="0" w:space="0" w:color="auto"/>
            <w:left w:val="none" w:sz="0" w:space="0" w:color="auto"/>
            <w:bottom w:val="none" w:sz="0" w:space="0" w:color="auto"/>
            <w:right w:val="none" w:sz="0" w:space="0" w:color="auto"/>
          </w:divBdr>
        </w:div>
        <w:div w:id="2035421895">
          <w:marLeft w:val="0"/>
          <w:marRight w:val="0"/>
          <w:marTop w:val="0"/>
          <w:marBottom w:val="0"/>
          <w:divBdr>
            <w:top w:val="none" w:sz="0" w:space="0" w:color="auto"/>
            <w:left w:val="none" w:sz="0" w:space="0" w:color="auto"/>
            <w:bottom w:val="none" w:sz="0" w:space="0" w:color="auto"/>
            <w:right w:val="none" w:sz="0" w:space="0" w:color="auto"/>
          </w:divBdr>
        </w:div>
      </w:divsChild>
    </w:div>
    <w:div w:id="1933278122">
      <w:bodyDiv w:val="1"/>
      <w:marLeft w:val="0"/>
      <w:marRight w:val="0"/>
      <w:marTop w:val="0"/>
      <w:marBottom w:val="0"/>
      <w:divBdr>
        <w:top w:val="none" w:sz="0" w:space="0" w:color="auto"/>
        <w:left w:val="none" w:sz="0" w:space="0" w:color="auto"/>
        <w:bottom w:val="none" w:sz="0" w:space="0" w:color="auto"/>
        <w:right w:val="none" w:sz="0" w:space="0" w:color="auto"/>
      </w:divBdr>
      <w:divsChild>
        <w:div w:id="392580965">
          <w:marLeft w:val="0"/>
          <w:marRight w:val="0"/>
          <w:marTop w:val="0"/>
          <w:marBottom w:val="0"/>
          <w:divBdr>
            <w:top w:val="none" w:sz="0" w:space="0" w:color="auto"/>
            <w:left w:val="none" w:sz="0" w:space="0" w:color="auto"/>
            <w:bottom w:val="none" w:sz="0" w:space="0" w:color="auto"/>
            <w:right w:val="none" w:sz="0" w:space="0" w:color="auto"/>
          </w:divBdr>
        </w:div>
        <w:div w:id="1500581672">
          <w:marLeft w:val="0"/>
          <w:marRight w:val="0"/>
          <w:marTop w:val="0"/>
          <w:marBottom w:val="0"/>
          <w:divBdr>
            <w:top w:val="none" w:sz="0" w:space="0" w:color="auto"/>
            <w:left w:val="none" w:sz="0" w:space="0" w:color="auto"/>
            <w:bottom w:val="none" w:sz="0" w:space="0" w:color="auto"/>
            <w:right w:val="none" w:sz="0" w:space="0" w:color="auto"/>
          </w:divBdr>
        </w:div>
        <w:div w:id="1884366264">
          <w:marLeft w:val="0"/>
          <w:marRight w:val="0"/>
          <w:marTop w:val="0"/>
          <w:marBottom w:val="0"/>
          <w:divBdr>
            <w:top w:val="none" w:sz="0" w:space="0" w:color="auto"/>
            <w:left w:val="none" w:sz="0" w:space="0" w:color="auto"/>
            <w:bottom w:val="none" w:sz="0" w:space="0" w:color="auto"/>
            <w:right w:val="none" w:sz="0" w:space="0" w:color="auto"/>
          </w:divBdr>
        </w:div>
      </w:divsChild>
    </w:div>
    <w:div w:id="1940065667">
      <w:bodyDiv w:val="1"/>
      <w:marLeft w:val="0"/>
      <w:marRight w:val="0"/>
      <w:marTop w:val="0"/>
      <w:marBottom w:val="0"/>
      <w:divBdr>
        <w:top w:val="none" w:sz="0" w:space="0" w:color="auto"/>
        <w:left w:val="none" w:sz="0" w:space="0" w:color="auto"/>
        <w:bottom w:val="none" w:sz="0" w:space="0" w:color="auto"/>
        <w:right w:val="none" w:sz="0" w:space="0" w:color="auto"/>
      </w:divBdr>
    </w:div>
    <w:div w:id="1960379452">
      <w:bodyDiv w:val="1"/>
      <w:marLeft w:val="0"/>
      <w:marRight w:val="0"/>
      <w:marTop w:val="0"/>
      <w:marBottom w:val="0"/>
      <w:divBdr>
        <w:top w:val="none" w:sz="0" w:space="0" w:color="auto"/>
        <w:left w:val="none" w:sz="0" w:space="0" w:color="auto"/>
        <w:bottom w:val="none" w:sz="0" w:space="0" w:color="auto"/>
        <w:right w:val="none" w:sz="0" w:space="0" w:color="auto"/>
      </w:divBdr>
      <w:divsChild>
        <w:div w:id="72708694">
          <w:marLeft w:val="0"/>
          <w:marRight w:val="0"/>
          <w:marTop w:val="0"/>
          <w:marBottom w:val="0"/>
          <w:divBdr>
            <w:top w:val="none" w:sz="0" w:space="0" w:color="auto"/>
            <w:left w:val="none" w:sz="0" w:space="0" w:color="auto"/>
            <w:bottom w:val="none" w:sz="0" w:space="0" w:color="auto"/>
            <w:right w:val="none" w:sz="0" w:space="0" w:color="auto"/>
          </w:divBdr>
        </w:div>
        <w:div w:id="74129469">
          <w:marLeft w:val="0"/>
          <w:marRight w:val="0"/>
          <w:marTop w:val="0"/>
          <w:marBottom w:val="0"/>
          <w:divBdr>
            <w:top w:val="none" w:sz="0" w:space="0" w:color="auto"/>
            <w:left w:val="none" w:sz="0" w:space="0" w:color="auto"/>
            <w:bottom w:val="none" w:sz="0" w:space="0" w:color="auto"/>
            <w:right w:val="none" w:sz="0" w:space="0" w:color="auto"/>
          </w:divBdr>
        </w:div>
        <w:div w:id="78911850">
          <w:marLeft w:val="0"/>
          <w:marRight w:val="0"/>
          <w:marTop w:val="0"/>
          <w:marBottom w:val="0"/>
          <w:divBdr>
            <w:top w:val="none" w:sz="0" w:space="0" w:color="auto"/>
            <w:left w:val="none" w:sz="0" w:space="0" w:color="auto"/>
            <w:bottom w:val="none" w:sz="0" w:space="0" w:color="auto"/>
            <w:right w:val="none" w:sz="0" w:space="0" w:color="auto"/>
          </w:divBdr>
        </w:div>
        <w:div w:id="93863060">
          <w:marLeft w:val="0"/>
          <w:marRight w:val="0"/>
          <w:marTop w:val="0"/>
          <w:marBottom w:val="0"/>
          <w:divBdr>
            <w:top w:val="none" w:sz="0" w:space="0" w:color="auto"/>
            <w:left w:val="none" w:sz="0" w:space="0" w:color="auto"/>
            <w:bottom w:val="none" w:sz="0" w:space="0" w:color="auto"/>
            <w:right w:val="none" w:sz="0" w:space="0" w:color="auto"/>
          </w:divBdr>
        </w:div>
        <w:div w:id="112211900">
          <w:marLeft w:val="0"/>
          <w:marRight w:val="0"/>
          <w:marTop w:val="0"/>
          <w:marBottom w:val="0"/>
          <w:divBdr>
            <w:top w:val="none" w:sz="0" w:space="0" w:color="auto"/>
            <w:left w:val="none" w:sz="0" w:space="0" w:color="auto"/>
            <w:bottom w:val="none" w:sz="0" w:space="0" w:color="auto"/>
            <w:right w:val="none" w:sz="0" w:space="0" w:color="auto"/>
          </w:divBdr>
        </w:div>
        <w:div w:id="145051660">
          <w:marLeft w:val="0"/>
          <w:marRight w:val="0"/>
          <w:marTop w:val="0"/>
          <w:marBottom w:val="0"/>
          <w:divBdr>
            <w:top w:val="none" w:sz="0" w:space="0" w:color="auto"/>
            <w:left w:val="none" w:sz="0" w:space="0" w:color="auto"/>
            <w:bottom w:val="none" w:sz="0" w:space="0" w:color="auto"/>
            <w:right w:val="none" w:sz="0" w:space="0" w:color="auto"/>
          </w:divBdr>
        </w:div>
        <w:div w:id="146634163">
          <w:marLeft w:val="0"/>
          <w:marRight w:val="0"/>
          <w:marTop w:val="0"/>
          <w:marBottom w:val="0"/>
          <w:divBdr>
            <w:top w:val="none" w:sz="0" w:space="0" w:color="auto"/>
            <w:left w:val="none" w:sz="0" w:space="0" w:color="auto"/>
            <w:bottom w:val="none" w:sz="0" w:space="0" w:color="auto"/>
            <w:right w:val="none" w:sz="0" w:space="0" w:color="auto"/>
          </w:divBdr>
        </w:div>
        <w:div w:id="208954617">
          <w:marLeft w:val="0"/>
          <w:marRight w:val="0"/>
          <w:marTop w:val="0"/>
          <w:marBottom w:val="0"/>
          <w:divBdr>
            <w:top w:val="none" w:sz="0" w:space="0" w:color="auto"/>
            <w:left w:val="none" w:sz="0" w:space="0" w:color="auto"/>
            <w:bottom w:val="none" w:sz="0" w:space="0" w:color="auto"/>
            <w:right w:val="none" w:sz="0" w:space="0" w:color="auto"/>
          </w:divBdr>
        </w:div>
        <w:div w:id="238755945">
          <w:marLeft w:val="0"/>
          <w:marRight w:val="0"/>
          <w:marTop w:val="0"/>
          <w:marBottom w:val="0"/>
          <w:divBdr>
            <w:top w:val="none" w:sz="0" w:space="0" w:color="auto"/>
            <w:left w:val="none" w:sz="0" w:space="0" w:color="auto"/>
            <w:bottom w:val="none" w:sz="0" w:space="0" w:color="auto"/>
            <w:right w:val="none" w:sz="0" w:space="0" w:color="auto"/>
          </w:divBdr>
        </w:div>
        <w:div w:id="273900925">
          <w:marLeft w:val="0"/>
          <w:marRight w:val="0"/>
          <w:marTop w:val="0"/>
          <w:marBottom w:val="0"/>
          <w:divBdr>
            <w:top w:val="none" w:sz="0" w:space="0" w:color="auto"/>
            <w:left w:val="none" w:sz="0" w:space="0" w:color="auto"/>
            <w:bottom w:val="none" w:sz="0" w:space="0" w:color="auto"/>
            <w:right w:val="none" w:sz="0" w:space="0" w:color="auto"/>
          </w:divBdr>
        </w:div>
        <w:div w:id="313680287">
          <w:marLeft w:val="0"/>
          <w:marRight w:val="0"/>
          <w:marTop w:val="0"/>
          <w:marBottom w:val="0"/>
          <w:divBdr>
            <w:top w:val="none" w:sz="0" w:space="0" w:color="auto"/>
            <w:left w:val="none" w:sz="0" w:space="0" w:color="auto"/>
            <w:bottom w:val="none" w:sz="0" w:space="0" w:color="auto"/>
            <w:right w:val="none" w:sz="0" w:space="0" w:color="auto"/>
          </w:divBdr>
        </w:div>
        <w:div w:id="372391177">
          <w:marLeft w:val="0"/>
          <w:marRight w:val="0"/>
          <w:marTop w:val="0"/>
          <w:marBottom w:val="0"/>
          <w:divBdr>
            <w:top w:val="none" w:sz="0" w:space="0" w:color="auto"/>
            <w:left w:val="none" w:sz="0" w:space="0" w:color="auto"/>
            <w:bottom w:val="none" w:sz="0" w:space="0" w:color="auto"/>
            <w:right w:val="none" w:sz="0" w:space="0" w:color="auto"/>
          </w:divBdr>
        </w:div>
        <w:div w:id="395856082">
          <w:marLeft w:val="0"/>
          <w:marRight w:val="0"/>
          <w:marTop w:val="0"/>
          <w:marBottom w:val="0"/>
          <w:divBdr>
            <w:top w:val="none" w:sz="0" w:space="0" w:color="auto"/>
            <w:left w:val="none" w:sz="0" w:space="0" w:color="auto"/>
            <w:bottom w:val="none" w:sz="0" w:space="0" w:color="auto"/>
            <w:right w:val="none" w:sz="0" w:space="0" w:color="auto"/>
          </w:divBdr>
        </w:div>
        <w:div w:id="513805206">
          <w:marLeft w:val="0"/>
          <w:marRight w:val="0"/>
          <w:marTop w:val="0"/>
          <w:marBottom w:val="0"/>
          <w:divBdr>
            <w:top w:val="none" w:sz="0" w:space="0" w:color="auto"/>
            <w:left w:val="none" w:sz="0" w:space="0" w:color="auto"/>
            <w:bottom w:val="none" w:sz="0" w:space="0" w:color="auto"/>
            <w:right w:val="none" w:sz="0" w:space="0" w:color="auto"/>
          </w:divBdr>
        </w:div>
        <w:div w:id="580024432">
          <w:marLeft w:val="0"/>
          <w:marRight w:val="0"/>
          <w:marTop w:val="0"/>
          <w:marBottom w:val="0"/>
          <w:divBdr>
            <w:top w:val="none" w:sz="0" w:space="0" w:color="auto"/>
            <w:left w:val="none" w:sz="0" w:space="0" w:color="auto"/>
            <w:bottom w:val="none" w:sz="0" w:space="0" w:color="auto"/>
            <w:right w:val="none" w:sz="0" w:space="0" w:color="auto"/>
          </w:divBdr>
        </w:div>
        <w:div w:id="604263519">
          <w:marLeft w:val="0"/>
          <w:marRight w:val="0"/>
          <w:marTop w:val="0"/>
          <w:marBottom w:val="0"/>
          <w:divBdr>
            <w:top w:val="none" w:sz="0" w:space="0" w:color="auto"/>
            <w:left w:val="none" w:sz="0" w:space="0" w:color="auto"/>
            <w:bottom w:val="none" w:sz="0" w:space="0" w:color="auto"/>
            <w:right w:val="none" w:sz="0" w:space="0" w:color="auto"/>
          </w:divBdr>
        </w:div>
        <w:div w:id="667295968">
          <w:marLeft w:val="0"/>
          <w:marRight w:val="0"/>
          <w:marTop w:val="0"/>
          <w:marBottom w:val="0"/>
          <w:divBdr>
            <w:top w:val="none" w:sz="0" w:space="0" w:color="auto"/>
            <w:left w:val="none" w:sz="0" w:space="0" w:color="auto"/>
            <w:bottom w:val="none" w:sz="0" w:space="0" w:color="auto"/>
            <w:right w:val="none" w:sz="0" w:space="0" w:color="auto"/>
          </w:divBdr>
        </w:div>
        <w:div w:id="673143672">
          <w:marLeft w:val="0"/>
          <w:marRight w:val="0"/>
          <w:marTop w:val="0"/>
          <w:marBottom w:val="0"/>
          <w:divBdr>
            <w:top w:val="none" w:sz="0" w:space="0" w:color="auto"/>
            <w:left w:val="none" w:sz="0" w:space="0" w:color="auto"/>
            <w:bottom w:val="none" w:sz="0" w:space="0" w:color="auto"/>
            <w:right w:val="none" w:sz="0" w:space="0" w:color="auto"/>
          </w:divBdr>
        </w:div>
        <w:div w:id="687217136">
          <w:marLeft w:val="0"/>
          <w:marRight w:val="0"/>
          <w:marTop w:val="0"/>
          <w:marBottom w:val="0"/>
          <w:divBdr>
            <w:top w:val="none" w:sz="0" w:space="0" w:color="auto"/>
            <w:left w:val="none" w:sz="0" w:space="0" w:color="auto"/>
            <w:bottom w:val="none" w:sz="0" w:space="0" w:color="auto"/>
            <w:right w:val="none" w:sz="0" w:space="0" w:color="auto"/>
          </w:divBdr>
        </w:div>
        <w:div w:id="746801813">
          <w:marLeft w:val="0"/>
          <w:marRight w:val="0"/>
          <w:marTop w:val="0"/>
          <w:marBottom w:val="0"/>
          <w:divBdr>
            <w:top w:val="none" w:sz="0" w:space="0" w:color="auto"/>
            <w:left w:val="none" w:sz="0" w:space="0" w:color="auto"/>
            <w:bottom w:val="none" w:sz="0" w:space="0" w:color="auto"/>
            <w:right w:val="none" w:sz="0" w:space="0" w:color="auto"/>
          </w:divBdr>
        </w:div>
        <w:div w:id="796994613">
          <w:marLeft w:val="0"/>
          <w:marRight w:val="0"/>
          <w:marTop w:val="0"/>
          <w:marBottom w:val="0"/>
          <w:divBdr>
            <w:top w:val="none" w:sz="0" w:space="0" w:color="auto"/>
            <w:left w:val="none" w:sz="0" w:space="0" w:color="auto"/>
            <w:bottom w:val="none" w:sz="0" w:space="0" w:color="auto"/>
            <w:right w:val="none" w:sz="0" w:space="0" w:color="auto"/>
          </w:divBdr>
        </w:div>
        <w:div w:id="957684303">
          <w:marLeft w:val="0"/>
          <w:marRight w:val="0"/>
          <w:marTop w:val="0"/>
          <w:marBottom w:val="0"/>
          <w:divBdr>
            <w:top w:val="none" w:sz="0" w:space="0" w:color="auto"/>
            <w:left w:val="none" w:sz="0" w:space="0" w:color="auto"/>
            <w:bottom w:val="none" w:sz="0" w:space="0" w:color="auto"/>
            <w:right w:val="none" w:sz="0" w:space="0" w:color="auto"/>
          </w:divBdr>
        </w:div>
        <w:div w:id="962073980">
          <w:marLeft w:val="0"/>
          <w:marRight w:val="0"/>
          <w:marTop w:val="0"/>
          <w:marBottom w:val="0"/>
          <w:divBdr>
            <w:top w:val="none" w:sz="0" w:space="0" w:color="auto"/>
            <w:left w:val="none" w:sz="0" w:space="0" w:color="auto"/>
            <w:bottom w:val="none" w:sz="0" w:space="0" w:color="auto"/>
            <w:right w:val="none" w:sz="0" w:space="0" w:color="auto"/>
          </w:divBdr>
        </w:div>
        <w:div w:id="962075480">
          <w:marLeft w:val="0"/>
          <w:marRight w:val="0"/>
          <w:marTop w:val="0"/>
          <w:marBottom w:val="0"/>
          <w:divBdr>
            <w:top w:val="none" w:sz="0" w:space="0" w:color="auto"/>
            <w:left w:val="none" w:sz="0" w:space="0" w:color="auto"/>
            <w:bottom w:val="none" w:sz="0" w:space="0" w:color="auto"/>
            <w:right w:val="none" w:sz="0" w:space="0" w:color="auto"/>
          </w:divBdr>
        </w:div>
        <w:div w:id="974408938">
          <w:marLeft w:val="0"/>
          <w:marRight w:val="0"/>
          <w:marTop w:val="0"/>
          <w:marBottom w:val="0"/>
          <w:divBdr>
            <w:top w:val="none" w:sz="0" w:space="0" w:color="auto"/>
            <w:left w:val="none" w:sz="0" w:space="0" w:color="auto"/>
            <w:bottom w:val="none" w:sz="0" w:space="0" w:color="auto"/>
            <w:right w:val="none" w:sz="0" w:space="0" w:color="auto"/>
          </w:divBdr>
        </w:div>
        <w:div w:id="1035154389">
          <w:marLeft w:val="0"/>
          <w:marRight w:val="0"/>
          <w:marTop w:val="0"/>
          <w:marBottom w:val="0"/>
          <w:divBdr>
            <w:top w:val="none" w:sz="0" w:space="0" w:color="auto"/>
            <w:left w:val="none" w:sz="0" w:space="0" w:color="auto"/>
            <w:bottom w:val="none" w:sz="0" w:space="0" w:color="auto"/>
            <w:right w:val="none" w:sz="0" w:space="0" w:color="auto"/>
          </w:divBdr>
        </w:div>
        <w:div w:id="1098866120">
          <w:marLeft w:val="0"/>
          <w:marRight w:val="0"/>
          <w:marTop w:val="0"/>
          <w:marBottom w:val="0"/>
          <w:divBdr>
            <w:top w:val="none" w:sz="0" w:space="0" w:color="auto"/>
            <w:left w:val="none" w:sz="0" w:space="0" w:color="auto"/>
            <w:bottom w:val="none" w:sz="0" w:space="0" w:color="auto"/>
            <w:right w:val="none" w:sz="0" w:space="0" w:color="auto"/>
          </w:divBdr>
        </w:div>
        <w:div w:id="1205288231">
          <w:marLeft w:val="0"/>
          <w:marRight w:val="0"/>
          <w:marTop w:val="0"/>
          <w:marBottom w:val="0"/>
          <w:divBdr>
            <w:top w:val="none" w:sz="0" w:space="0" w:color="auto"/>
            <w:left w:val="none" w:sz="0" w:space="0" w:color="auto"/>
            <w:bottom w:val="none" w:sz="0" w:space="0" w:color="auto"/>
            <w:right w:val="none" w:sz="0" w:space="0" w:color="auto"/>
          </w:divBdr>
        </w:div>
        <w:div w:id="1260720029">
          <w:marLeft w:val="0"/>
          <w:marRight w:val="0"/>
          <w:marTop w:val="0"/>
          <w:marBottom w:val="0"/>
          <w:divBdr>
            <w:top w:val="none" w:sz="0" w:space="0" w:color="auto"/>
            <w:left w:val="none" w:sz="0" w:space="0" w:color="auto"/>
            <w:bottom w:val="none" w:sz="0" w:space="0" w:color="auto"/>
            <w:right w:val="none" w:sz="0" w:space="0" w:color="auto"/>
          </w:divBdr>
        </w:div>
        <w:div w:id="1261184304">
          <w:marLeft w:val="0"/>
          <w:marRight w:val="0"/>
          <w:marTop w:val="0"/>
          <w:marBottom w:val="0"/>
          <w:divBdr>
            <w:top w:val="none" w:sz="0" w:space="0" w:color="auto"/>
            <w:left w:val="none" w:sz="0" w:space="0" w:color="auto"/>
            <w:bottom w:val="none" w:sz="0" w:space="0" w:color="auto"/>
            <w:right w:val="none" w:sz="0" w:space="0" w:color="auto"/>
          </w:divBdr>
        </w:div>
        <w:div w:id="1270972385">
          <w:marLeft w:val="0"/>
          <w:marRight w:val="0"/>
          <w:marTop w:val="0"/>
          <w:marBottom w:val="0"/>
          <w:divBdr>
            <w:top w:val="none" w:sz="0" w:space="0" w:color="auto"/>
            <w:left w:val="none" w:sz="0" w:space="0" w:color="auto"/>
            <w:bottom w:val="none" w:sz="0" w:space="0" w:color="auto"/>
            <w:right w:val="none" w:sz="0" w:space="0" w:color="auto"/>
          </w:divBdr>
        </w:div>
        <w:div w:id="1355427412">
          <w:marLeft w:val="0"/>
          <w:marRight w:val="0"/>
          <w:marTop w:val="0"/>
          <w:marBottom w:val="0"/>
          <w:divBdr>
            <w:top w:val="none" w:sz="0" w:space="0" w:color="auto"/>
            <w:left w:val="none" w:sz="0" w:space="0" w:color="auto"/>
            <w:bottom w:val="none" w:sz="0" w:space="0" w:color="auto"/>
            <w:right w:val="none" w:sz="0" w:space="0" w:color="auto"/>
          </w:divBdr>
        </w:div>
        <w:div w:id="1407915098">
          <w:marLeft w:val="0"/>
          <w:marRight w:val="0"/>
          <w:marTop w:val="0"/>
          <w:marBottom w:val="0"/>
          <w:divBdr>
            <w:top w:val="none" w:sz="0" w:space="0" w:color="auto"/>
            <w:left w:val="none" w:sz="0" w:space="0" w:color="auto"/>
            <w:bottom w:val="none" w:sz="0" w:space="0" w:color="auto"/>
            <w:right w:val="none" w:sz="0" w:space="0" w:color="auto"/>
          </w:divBdr>
        </w:div>
        <w:div w:id="1456871747">
          <w:marLeft w:val="0"/>
          <w:marRight w:val="0"/>
          <w:marTop w:val="0"/>
          <w:marBottom w:val="0"/>
          <w:divBdr>
            <w:top w:val="none" w:sz="0" w:space="0" w:color="auto"/>
            <w:left w:val="none" w:sz="0" w:space="0" w:color="auto"/>
            <w:bottom w:val="none" w:sz="0" w:space="0" w:color="auto"/>
            <w:right w:val="none" w:sz="0" w:space="0" w:color="auto"/>
          </w:divBdr>
        </w:div>
        <w:div w:id="1459185579">
          <w:marLeft w:val="0"/>
          <w:marRight w:val="0"/>
          <w:marTop w:val="0"/>
          <w:marBottom w:val="0"/>
          <w:divBdr>
            <w:top w:val="none" w:sz="0" w:space="0" w:color="auto"/>
            <w:left w:val="none" w:sz="0" w:space="0" w:color="auto"/>
            <w:bottom w:val="none" w:sz="0" w:space="0" w:color="auto"/>
            <w:right w:val="none" w:sz="0" w:space="0" w:color="auto"/>
          </w:divBdr>
        </w:div>
        <w:div w:id="1464810337">
          <w:marLeft w:val="0"/>
          <w:marRight w:val="0"/>
          <w:marTop w:val="0"/>
          <w:marBottom w:val="0"/>
          <w:divBdr>
            <w:top w:val="none" w:sz="0" w:space="0" w:color="auto"/>
            <w:left w:val="none" w:sz="0" w:space="0" w:color="auto"/>
            <w:bottom w:val="none" w:sz="0" w:space="0" w:color="auto"/>
            <w:right w:val="none" w:sz="0" w:space="0" w:color="auto"/>
          </w:divBdr>
        </w:div>
        <w:div w:id="1490052621">
          <w:marLeft w:val="0"/>
          <w:marRight w:val="0"/>
          <w:marTop w:val="0"/>
          <w:marBottom w:val="0"/>
          <w:divBdr>
            <w:top w:val="none" w:sz="0" w:space="0" w:color="auto"/>
            <w:left w:val="none" w:sz="0" w:space="0" w:color="auto"/>
            <w:bottom w:val="none" w:sz="0" w:space="0" w:color="auto"/>
            <w:right w:val="none" w:sz="0" w:space="0" w:color="auto"/>
          </w:divBdr>
        </w:div>
        <w:div w:id="1508639099">
          <w:marLeft w:val="0"/>
          <w:marRight w:val="0"/>
          <w:marTop w:val="0"/>
          <w:marBottom w:val="0"/>
          <w:divBdr>
            <w:top w:val="none" w:sz="0" w:space="0" w:color="auto"/>
            <w:left w:val="none" w:sz="0" w:space="0" w:color="auto"/>
            <w:bottom w:val="none" w:sz="0" w:space="0" w:color="auto"/>
            <w:right w:val="none" w:sz="0" w:space="0" w:color="auto"/>
          </w:divBdr>
        </w:div>
        <w:div w:id="1518082060">
          <w:marLeft w:val="0"/>
          <w:marRight w:val="0"/>
          <w:marTop w:val="0"/>
          <w:marBottom w:val="0"/>
          <w:divBdr>
            <w:top w:val="none" w:sz="0" w:space="0" w:color="auto"/>
            <w:left w:val="none" w:sz="0" w:space="0" w:color="auto"/>
            <w:bottom w:val="none" w:sz="0" w:space="0" w:color="auto"/>
            <w:right w:val="none" w:sz="0" w:space="0" w:color="auto"/>
          </w:divBdr>
        </w:div>
        <w:div w:id="1580600944">
          <w:marLeft w:val="0"/>
          <w:marRight w:val="0"/>
          <w:marTop w:val="0"/>
          <w:marBottom w:val="0"/>
          <w:divBdr>
            <w:top w:val="none" w:sz="0" w:space="0" w:color="auto"/>
            <w:left w:val="none" w:sz="0" w:space="0" w:color="auto"/>
            <w:bottom w:val="none" w:sz="0" w:space="0" w:color="auto"/>
            <w:right w:val="none" w:sz="0" w:space="0" w:color="auto"/>
          </w:divBdr>
        </w:div>
        <w:div w:id="1629051232">
          <w:marLeft w:val="0"/>
          <w:marRight w:val="0"/>
          <w:marTop w:val="0"/>
          <w:marBottom w:val="0"/>
          <w:divBdr>
            <w:top w:val="none" w:sz="0" w:space="0" w:color="auto"/>
            <w:left w:val="none" w:sz="0" w:space="0" w:color="auto"/>
            <w:bottom w:val="none" w:sz="0" w:space="0" w:color="auto"/>
            <w:right w:val="none" w:sz="0" w:space="0" w:color="auto"/>
          </w:divBdr>
        </w:div>
        <w:div w:id="1779177049">
          <w:marLeft w:val="0"/>
          <w:marRight w:val="0"/>
          <w:marTop w:val="0"/>
          <w:marBottom w:val="0"/>
          <w:divBdr>
            <w:top w:val="none" w:sz="0" w:space="0" w:color="auto"/>
            <w:left w:val="none" w:sz="0" w:space="0" w:color="auto"/>
            <w:bottom w:val="none" w:sz="0" w:space="0" w:color="auto"/>
            <w:right w:val="none" w:sz="0" w:space="0" w:color="auto"/>
          </w:divBdr>
        </w:div>
        <w:div w:id="1796824238">
          <w:marLeft w:val="0"/>
          <w:marRight w:val="0"/>
          <w:marTop w:val="0"/>
          <w:marBottom w:val="0"/>
          <w:divBdr>
            <w:top w:val="none" w:sz="0" w:space="0" w:color="auto"/>
            <w:left w:val="none" w:sz="0" w:space="0" w:color="auto"/>
            <w:bottom w:val="none" w:sz="0" w:space="0" w:color="auto"/>
            <w:right w:val="none" w:sz="0" w:space="0" w:color="auto"/>
          </w:divBdr>
        </w:div>
        <w:div w:id="1832331717">
          <w:marLeft w:val="0"/>
          <w:marRight w:val="0"/>
          <w:marTop w:val="0"/>
          <w:marBottom w:val="0"/>
          <w:divBdr>
            <w:top w:val="none" w:sz="0" w:space="0" w:color="auto"/>
            <w:left w:val="none" w:sz="0" w:space="0" w:color="auto"/>
            <w:bottom w:val="none" w:sz="0" w:space="0" w:color="auto"/>
            <w:right w:val="none" w:sz="0" w:space="0" w:color="auto"/>
          </w:divBdr>
        </w:div>
        <w:div w:id="1837919039">
          <w:marLeft w:val="0"/>
          <w:marRight w:val="0"/>
          <w:marTop w:val="0"/>
          <w:marBottom w:val="0"/>
          <w:divBdr>
            <w:top w:val="none" w:sz="0" w:space="0" w:color="auto"/>
            <w:left w:val="none" w:sz="0" w:space="0" w:color="auto"/>
            <w:bottom w:val="none" w:sz="0" w:space="0" w:color="auto"/>
            <w:right w:val="none" w:sz="0" w:space="0" w:color="auto"/>
          </w:divBdr>
        </w:div>
        <w:div w:id="1886327154">
          <w:marLeft w:val="0"/>
          <w:marRight w:val="0"/>
          <w:marTop w:val="0"/>
          <w:marBottom w:val="0"/>
          <w:divBdr>
            <w:top w:val="none" w:sz="0" w:space="0" w:color="auto"/>
            <w:left w:val="none" w:sz="0" w:space="0" w:color="auto"/>
            <w:bottom w:val="none" w:sz="0" w:space="0" w:color="auto"/>
            <w:right w:val="none" w:sz="0" w:space="0" w:color="auto"/>
          </w:divBdr>
        </w:div>
        <w:div w:id="1978148018">
          <w:marLeft w:val="0"/>
          <w:marRight w:val="0"/>
          <w:marTop w:val="0"/>
          <w:marBottom w:val="0"/>
          <w:divBdr>
            <w:top w:val="none" w:sz="0" w:space="0" w:color="auto"/>
            <w:left w:val="none" w:sz="0" w:space="0" w:color="auto"/>
            <w:bottom w:val="none" w:sz="0" w:space="0" w:color="auto"/>
            <w:right w:val="none" w:sz="0" w:space="0" w:color="auto"/>
          </w:divBdr>
        </w:div>
        <w:div w:id="2113818022">
          <w:marLeft w:val="0"/>
          <w:marRight w:val="0"/>
          <w:marTop w:val="0"/>
          <w:marBottom w:val="0"/>
          <w:divBdr>
            <w:top w:val="none" w:sz="0" w:space="0" w:color="auto"/>
            <w:left w:val="none" w:sz="0" w:space="0" w:color="auto"/>
            <w:bottom w:val="none" w:sz="0" w:space="0" w:color="auto"/>
            <w:right w:val="none" w:sz="0" w:space="0" w:color="auto"/>
          </w:divBdr>
        </w:div>
        <w:div w:id="2130733523">
          <w:marLeft w:val="0"/>
          <w:marRight w:val="0"/>
          <w:marTop w:val="0"/>
          <w:marBottom w:val="0"/>
          <w:divBdr>
            <w:top w:val="none" w:sz="0" w:space="0" w:color="auto"/>
            <w:left w:val="none" w:sz="0" w:space="0" w:color="auto"/>
            <w:bottom w:val="none" w:sz="0" w:space="0" w:color="auto"/>
            <w:right w:val="none" w:sz="0" w:space="0" w:color="auto"/>
          </w:divBdr>
        </w:div>
        <w:div w:id="2139181549">
          <w:marLeft w:val="0"/>
          <w:marRight w:val="0"/>
          <w:marTop w:val="0"/>
          <w:marBottom w:val="0"/>
          <w:divBdr>
            <w:top w:val="none" w:sz="0" w:space="0" w:color="auto"/>
            <w:left w:val="none" w:sz="0" w:space="0" w:color="auto"/>
            <w:bottom w:val="none" w:sz="0" w:space="0" w:color="auto"/>
            <w:right w:val="none" w:sz="0" w:space="0" w:color="auto"/>
          </w:divBdr>
        </w:div>
      </w:divsChild>
    </w:div>
    <w:div w:id="20506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chart" Target="charts/chart10.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3.png"/><Relationship Id="rId25" Type="http://schemas.openxmlformats.org/officeDocument/2006/relationships/chart" Target="charts/chart9.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7.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hart" Target="charts/chart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image" Target="media/image6.png"/><Relationship Id="rId28" Type="http://schemas.openxmlformats.org/officeDocument/2006/relationships/chart" Target="charts/chart12.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image" Target="media/image5.png"/><Relationship Id="rId27" Type="http://schemas.openxmlformats.org/officeDocument/2006/relationships/chart" Target="charts/chart11.xm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orskningsradet.no/contentassets/64c42cf0f63f46a4893c499a0b2e9ba6/nifu2018-evaluation-of-the-national-research-school-scheme.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2-2021%20PhD%20Fagomr&#229;d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r\AppData\Local\Microsoft\Windows\INetCache\Content.Outlook\DNBNJDRI\H2020-MSCA-portef&#248;ljeanalyse%20sept2021%20(0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r\AppData\Local\Microsoft\Windows\INetCache\Content.Outlook\DNBNJDRI\H2020-MSCA-portef&#248;ljeanalyse%20sept2021%20(0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Unge%20forskertalenter.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2-2021%20Postdoc%20Sektor.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2-2021%20PhD%20Hovedaktivit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2-2021%20PhD%20Sekto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2-2021%20Fordeling%20av%20&#229;rsverk%20p&#229;%20PhD%20og%20Postdo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9-2021%20PhD%20Kj&#248;n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9-2021%20PhD%20Fagomr&#229;d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9-2021%20PhD%20Fagomr&#229;d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Tableau\2019-2021%20PhD%20Hovedaktivit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nfr-cl4-felles\Felles\VIT-F.SYST\UHPOLITIKK\3%20Internt\Team%20rekruttering%20&amp;%20karriere\Portef&#248;ljeanalysen\Utenlandsstipend\Utenlandsstipend%20kj&#248;n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'dragram ny'!$H$3</c:f>
              <c:strCache>
                <c:ptCount val="1"/>
                <c:pt idx="0">
                  <c:v>Teknologi</c:v>
                </c:pt>
              </c:strCache>
            </c:strRef>
          </c:tx>
          <c:spPr>
            <a:ln w="28575" cap="rnd" cmpd="sng" algn="ctr">
              <a:solidFill>
                <a:srgbClr val="00338E"/>
              </a:solidFill>
              <a:prstDash val="solid"/>
              <a:round/>
              <a:headEnd type="none" w="med" len="med"/>
              <a:tailEnd type="none" w="med" len="med"/>
            </a:ln>
            <a:effectLst/>
          </c:spPr>
          <c:marker>
            <c:symbol val="circle"/>
            <c:size val="5"/>
            <c:spPr>
              <a:solidFill>
                <a:srgbClr val="00338E"/>
              </a:solidFill>
              <a:ln w="28575">
                <a:solidFill>
                  <a:srgbClr val="00338E"/>
                </a:solidFill>
                <a:prstDash val="solid"/>
              </a:ln>
              <a:effectLst/>
            </c:spPr>
          </c:marker>
          <c:cat>
            <c:numRef>
              <c:f>'dragram ny'!$G$4:$G$13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'dragram ny'!$H$4:$H$13</c:f>
              <c:numCache>
                <c:formatCode>#\ ##0.0</c:formatCode>
                <c:ptCount val="10"/>
                <c:pt idx="0">
                  <c:v>625.4699169999999</c:v>
                </c:pt>
                <c:pt idx="1">
                  <c:v>543.0090889999999</c:v>
                </c:pt>
                <c:pt idx="2">
                  <c:v>466.00075199999992</c:v>
                </c:pt>
                <c:pt idx="3">
                  <c:v>501.40907699999991</c:v>
                </c:pt>
                <c:pt idx="4">
                  <c:v>569.84073999999987</c:v>
                </c:pt>
                <c:pt idx="5">
                  <c:v>620.58241300000009</c:v>
                </c:pt>
                <c:pt idx="6">
                  <c:v>619.64906999999994</c:v>
                </c:pt>
                <c:pt idx="7">
                  <c:v>581.18158300000005</c:v>
                </c:pt>
                <c:pt idx="8">
                  <c:v>577.60158100000012</c:v>
                </c:pt>
                <c:pt idx="9">
                  <c:v>623.84405200000003</c:v>
                </c:pt>
              </c:numCache>
            </c:numRef>
          </c:val>
          <c:smooth val="0"/>
          <c:extLst>
            <c:ext xmlns:c16="http://schemas.microsoft.com/office/drawing/2014/chart" uri="{C3380CC4-5D6E-409C-BE32-E72D297353CC}">
              <c16:uniqueId val="{00000000-E126-4522-AA99-79D9FEC3A474}"/>
            </c:ext>
          </c:extLst>
        </c:ser>
        <c:ser>
          <c:idx val="1"/>
          <c:order val="1"/>
          <c:tx>
            <c:strRef>
              <c:f>'dragram ny'!$I$3</c:f>
              <c:strCache>
                <c:ptCount val="1"/>
                <c:pt idx="0">
                  <c:v>Matematikk og naturvitenskap</c:v>
                </c:pt>
              </c:strCache>
            </c:strRef>
          </c:tx>
          <c:spPr>
            <a:ln w="28575" cap="rnd" cmpd="sng" algn="ctr">
              <a:solidFill>
                <a:srgbClr val="A3B4BC"/>
              </a:solidFill>
              <a:prstDash val="solid"/>
              <a:round/>
              <a:headEnd type="none" w="med" len="med"/>
              <a:tailEnd type="none" w="med" len="med"/>
            </a:ln>
            <a:effectLst/>
          </c:spPr>
          <c:marker>
            <c:symbol val="circle"/>
            <c:size val="5"/>
            <c:spPr>
              <a:solidFill>
                <a:srgbClr val="A3B4BC"/>
              </a:solidFill>
              <a:ln w="28575">
                <a:solidFill>
                  <a:srgbClr val="A3B4BC"/>
                </a:solidFill>
                <a:prstDash val="solid"/>
              </a:ln>
              <a:effectLst/>
            </c:spPr>
          </c:marker>
          <c:cat>
            <c:numRef>
              <c:f>'dragram ny'!$G$4:$G$13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'dragram ny'!$I$4:$I$13</c:f>
              <c:numCache>
                <c:formatCode>#\ ##0.0</c:formatCode>
                <c:ptCount val="10"/>
                <c:pt idx="0">
                  <c:v>263.57412499999992</c:v>
                </c:pt>
                <c:pt idx="1">
                  <c:v>280.94245299999994</c:v>
                </c:pt>
                <c:pt idx="2">
                  <c:v>286.17745300000001</c:v>
                </c:pt>
                <c:pt idx="3">
                  <c:v>292.66911299999992</c:v>
                </c:pt>
                <c:pt idx="4">
                  <c:v>320.48243100000002</c:v>
                </c:pt>
                <c:pt idx="5">
                  <c:v>361.36410399999988</c:v>
                </c:pt>
                <c:pt idx="6">
                  <c:v>392.86743299999989</c:v>
                </c:pt>
                <c:pt idx="7">
                  <c:v>388.41493700000001</c:v>
                </c:pt>
                <c:pt idx="8">
                  <c:v>387.68159400000002</c:v>
                </c:pt>
                <c:pt idx="9">
                  <c:v>403.36577299999999</c:v>
                </c:pt>
              </c:numCache>
            </c:numRef>
          </c:val>
          <c:smooth val="0"/>
          <c:extLst>
            <c:ext xmlns:c16="http://schemas.microsoft.com/office/drawing/2014/chart" uri="{C3380CC4-5D6E-409C-BE32-E72D297353CC}">
              <c16:uniqueId val="{00000001-E126-4522-AA99-79D9FEC3A474}"/>
            </c:ext>
          </c:extLst>
        </c:ser>
        <c:ser>
          <c:idx val="2"/>
          <c:order val="2"/>
          <c:tx>
            <c:strRef>
              <c:f>'dragram ny'!$J$3</c:f>
              <c:strCache>
                <c:ptCount val="1"/>
                <c:pt idx="0">
                  <c:v>Medisin og helsefag</c:v>
                </c:pt>
              </c:strCache>
            </c:strRef>
          </c:tx>
          <c:spPr>
            <a:ln w="28575" cap="rnd" cmpd="sng" algn="ctr">
              <a:solidFill>
                <a:srgbClr val="01BDE2"/>
              </a:solidFill>
              <a:prstDash val="solid"/>
              <a:round/>
              <a:headEnd type="none" w="med" len="med"/>
              <a:tailEnd type="none" w="med" len="med"/>
            </a:ln>
            <a:effectLst/>
          </c:spPr>
          <c:marker>
            <c:symbol val="circle"/>
            <c:size val="5"/>
            <c:spPr>
              <a:solidFill>
                <a:srgbClr val="01BDE2"/>
              </a:solidFill>
              <a:ln w="28575">
                <a:solidFill>
                  <a:srgbClr val="01BDE2"/>
                </a:solidFill>
                <a:prstDash val="solid"/>
              </a:ln>
              <a:effectLst/>
            </c:spPr>
          </c:marker>
          <c:cat>
            <c:numRef>
              <c:f>'dragram ny'!$G$4:$G$13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'dragram ny'!$J$4:$J$13</c:f>
              <c:numCache>
                <c:formatCode>#\ ##0.0</c:formatCode>
                <c:ptCount val="10"/>
                <c:pt idx="0">
                  <c:v>218.605797</c:v>
                </c:pt>
                <c:pt idx="1">
                  <c:v>200.37496699999997</c:v>
                </c:pt>
                <c:pt idx="2">
                  <c:v>223.25996099999998</c:v>
                </c:pt>
                <c:pt idx="3">
                  <c:v>240.86913399999992</c:v>
                </c:pt>
                <c:pt idx="4">
                  <c:v>256.59996499999994</c:v>
                </c:pt>
                <c:pt idx="5">
                  <c:v>248.58995399999995</c:v>
                </c:pt>
                <c:pt idx="6">
                  <c:v>223.97162999999995</c:v>
                </c:pt>
                <c:pt idx="7">
                  <c:v>254.44078699999994</c:v>
                </c:pt>
                <c:pt idx="8">
                  <c:v>259.74664199999995</c:v>
                </c:pt>
                <c:pt idx="9">
                  <c:v>259.03995999999995</c:v>
                </c:pt>
              </c:numCache>
            </c:numRef>
          </c:val>
          <c:smooth val="0"/>
          <c:extLst>
            <c:ext xmlns:c16="http://schemas.microsoft.com/office/drawing/2014/chart" uri="{C3380CC4-5D6E-409C-BE32-E72D297353CC}">
              <c16:uniqueId val="{00000002-E126-4522-AA99-79D9FEC3A474}"/>
            </c:ext>
          </c:extLst>
        </c:ser>
        <c:ser>
          <c:idx val="3"/>
          <c:order val="3"/>
          <c:tx>
            <c:strRef>
              <c:f>'dragram ny'!$K$3</c:f>
              <c:strCache>
                <c:ptCount val="1"/>
                <c:pt idx="0">
                  <c:v>Samfunnsvitenskap</c:v>
                </c:pt>
              </c:strCache>
            </c:strRef>
          </c:tx>
          <c:spPr>
            <a:ln w="28575" cap="rnd" cmpd="sng" algn="ctr">
              <a:solidFill>
                <a:srgbClr val="FF7C00"/>
              </a:solidFill>
              <a:prstDash val="solid"/>
              <a:round/>
              <a:headEnd type="none" w="med" len="med"/>
              <a:tailEnd type="none" w="med" len="med"/>
            </a:ln>
            <a:effectLst/>
          </c:spPr>
          <c:marker>
            <c:symbol val="circle"/>
            <c:size val="5"/>
            <c:spPr>
              <a:solidFill>
                <a:srgbClr val="FF7C00"/>
              </a:solidFill>
              <a:ln w="28575">
                <a:solidFill>
                  <a:srgbClr val="FF7C00"/>
                </a:solidFill>
                <a:prstDash val="solid"/>
              </a:ln>
              <a:effectLst/>
            </c:spPr>
          </c:marker>
          <c:cat>
            <c:numRef>
              <c:f>'dragram ny'!$G$4:$G$13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'dragram ny'!$K$4:$K$13</c:f>
              <c:numCache>
                <c:formatCode>#\ ##0.0</c:formatCode>
                <c:ptCount val="10"/>
                <c:pt idx="0">
                  <c:v>226.88413199999991</c:v>
                </c:pt>
                <c:pt idx="1">
                  <c:v>213.96997099999999</c:v>
                </c:pt>
                <c:pt idx="2">
                  <c:v>199.90830699999998</c:v>
                </c:pt>
                <c:pt idx="3">
                  <c:v>200.01247499999994</c:v>
                </c:pt>
                <c:pt idx="4">
                  <c:v>201.79247399999997</c:v>
                </c:pt>
                <c:pt idx="5">
                  <c:v>221.45579499999994</c:v>
                </c:pt>
                <c:pt idx="6">
                  <c:v>269.41911099999999</c:v>
                </c:pt>
                <c:pt idx="7">
                  <c:v>303.63912399999992</c:v>
                </c:pt>
                <c:pt idx="8">
                  <c:v>311.324118</c:v>
                </c:pt>
                <c:pt idx="9">
                  <c:v>341.4066289999999</c:v>
                </c:pt>
              </c:numCache>
            </c:numRef>
          </c:val>
          <c:smooth val="0"/>
          <c:extLst>
            <c:ext xmlns:c16="http://schemas.microsoft.com/office/drawing/2014/chart" uri="{C3380CC4-5D6E-409C-BE32-E72D297353CC}">
              <c16:uniqueId val="{00000003-E126-4522-AA99-79D9FEC3A474}"/>
            </c:ext>
          </c:extLst>
        </c:ser>
        <c:ser>
          <c:idx val="4"/>
          <c:order val="4"/>
          <c:tx>
            <c:strRef>
              <c:f>'dragram ny'!$L$3</c:f>
              <c:strCache>
                <c:ptCount val="1"/>
                <c:pt idx="0">
                  <c:v>Humaniora</c:v>
                </c:pt>
              </c:strCache>
            </c:strRef>
          </c:tx>
          <c:spPr>
            <a:ln w="28575" cap="rnd" cmpd="sng" algn="ctr">
              <a:solidFill>
                <a:srgbClr val="E03600"/>
              </a:solidFill>
              <a:prstDash val="solid"/>
              <a:round/>
              <a:headEnd type="none" w="med" len="med"/>
              <a:tailEnd type="none" w="med" len="med"/>
            </a:ln>
            <a:effectLst/>
          </c:spPr>
          <c:marker>
            <c:symbol val="circle"/>
            <c:size val="5"/>
            <c:spPr>
              <a:solidFill>
                <a:srgbClr val="E03600"/>
              </a:solidFill>
              <a:ln w="28575">
                <a:solidFill>
                  <a:srgbClr val="E03600"/>
                </a:solidFill>
                <a:prstDash val="solid"/>
              </a:ln>
              <a:effectLst/>
            </c:spPr>
          </c:marker>
          <c:cat>
            <c:numRef>
              <c:f>'dragram ny'!$G$4:$G$13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'dragram ny'!$L$4:$L$13</c:f>
              <c:numCache>
                <c:formatCode>#\ ##0.0</c:formatCode>
                <c:ptCount val="10"/>
                <c:pt idx="0">
                  <c:v>50.566658000000004</c:v>
                </c:pt>
                <c:pt idx="1">
                  <c:v>53.071650999999996</c:v>
                </c:pt>
                <c:pt idx="2">
                  <c:v>55.666660999999991</c:v>
                </c:pt>
                <c:pt idx="3">
                  <c:v>60.520824000000005</c:v>
                </c:pt>
                <c:pt idx="4">
                  <c:v>59.961657999999993</c:v>
                </c:pt>
                <c:pt idx="5">
                  <c:v>58.069155000000009</c:v>
                </c:pt>
                <c:pt idx="6">
                  <c:v>56.135824999999997</c:v>
                </c:pt>
                <c:pt idx="7">
                  <c:v>63.400826999999985</c:v>
                </c:pt>
                <c:pt idx="8">
                  <c:v>69.634154999999993</c:v>
                </c:pt>
                <c:pt idx="9">
                  <c:v>80.134986999999995</c:v>
                </c:pt>
              </c:numCache>
            </c:numRef>
          </c:val>
          <c:smooth val="0"/>
          <c:extLst>
            <c:ext xmlns:c16="http://schemas.microsoft.com/office/drawing/2014/chart" uri="{C3380CC4-5D6E-409C-BE32-E72D297353CC}">
              <c16:uniqueId val="{00000004-E126-4522-AA99-79D9FEC3A474}"/>
            </c:ext>
          </c:extLst>
        </c:ser>
        <c:ser>
          <c:idx val="5"/>
          <c:order val="5"/>
          <c:tx>
            <c:strRef>
              <c:f>'dragram ny'!$M$3</c:f>
              <c:strCache>
                <c:ptCount val="1"/>
                <c:pt idx="0">
                  <c:v>Landbruks- og fiskerifag</c:v>
                </c:pt>
              </c:strCache>
            </c:strRef>
          </c:tx>
          <c:spPr>
            <a:ln w="28575" cap="rnd" cmpd="sng" algn="ctr">
              <a:solidFill>
                <a:srgbClr val="00C361"/>
              </a:solidFill>
              <a:prstDash val="solid"/>
              <a:round/>
              <a:headEnd type="none" w="med" len="med"/>
              <a:tailEnd type="none" w="med" len="med"/>
            </a:ln>
            <a:effectLst/>
          </c:spPr>
          <c:marker>
            <c:symbol val="circle"/>
            <c:size val="5"/>
            <c:spPr>
              <a:solidFill>
                <a:srgbClr val="00C361"/>
              </a:solidFill>
              <a:ln w="28575">
                <a:solidFill>
                  <a:srgbClr val="00C361"/>
                </a:solidFill>
                <a:prstDash val="solid"/>
              </a:ln>
              <a:effectLst/>
            </c:spPr>
          </c:marker>
          <c:cat>
            <c:numRef>
              <c:f>'dragram ny'!$G$4:$G$13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'dragram ny'!$M$4:$M$13</c:f>
              <c:numCache>
                <c:formatCode>#\ ##0.0</c:formatCode>
                <c:ptCount val="10"/>
                <c:pt idx="0">
                  <c:v>105.83248700000001</c:v>
                </c:pt>
                <c:pt idx="1">
                  <c:v>94.085819999999984</c:v>
                </c:pt>
                <c:pt idx="2">
                  <c:v>78.084152999999986</c:v>
                </c:pt>
                <c:pt idx="3">
                  <c:v>74.244987999999992</c:v>
                </c:pt>
                <c:pt idx="4">
                  <c:v>83.675820000000016</c:v>
                </c:pt>
                <c:pt idx="5">
                  <c:v>81.590823</c:v>
                </c:pt>
                <c:pt idx="6">
                  <c:v>77.289991999999998</c:v>
                </c:pt>
                <c:pt idx="7">
                  <c:v>69.431657999999999</c:v>
                </c:pt>
                <c:pt idx="8">
                  <c:v>57.173323999999994</c:v>
                </c:pt>
                <c:pt idx="9">
                  <c:v>60.592492</c:v>
                </c:pt>
              </c:numCache>
            </c:numRef>
          </c:val>
          <c:smooth val="0"/>
          <c:extLst>
            <c:ext xmlns:c16="http://schemas.microsoft.com/office/drawing/2014/chart" uri="{C3380CC4-5D6E-409C-BE32-E72D297353CC}">
              <c16:uniqueId val="{00000005-E126-4522-AA99-79D9FEC3A474}"/>
            </c:ext>
          </c:extLst>
        </c:ser>
        <c:dLbls>
          <c:showLegendKey val="0"/>
          <c:showVal val="0"/>
          <c:showCatName val="0"/>
          <c:showSerName val="0"/>
          <c:showPercent val="0"/>
          <c:showBubbleSize val="0"/>
        </c:dLbls>
        <c:marker val="1"/>
        <c:smooth val="0"/>
        <c:axId val="1083281951"/>
        <c:axId val="1083279871"/>
      </c:lineChart>
      <c:catAx>
        <c:axId val="108328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1083279871"/>
        <c:crosses val="autoZero"/>
        <c:auto val="1"/>
        <c:lblAlgn val="ctr"/>
        <c:lblOffset val="100"/>
        <c:noMultiLvlLbl val="0"/>
      </c:catAx>
      <c:valAx>
        <c:axId val="1083279871"/>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108328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Norske søknader til MSCA IF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'IF - Til porteføljeanalysen'!$C$14</c:f>
              <c:strCache>
                <c:ptCount val="1"/>
                <c:pt idx="0">
                  <c:v>2014</c:v>
                </c:pt>
              </c:strCache>
            </c:strRef>
          </c:tx>
          <c:spPr>
            <a:solidFill>
              <a:schemeClr val="accent1"/>
            </a:solidFill>
            <a:ln>
              <a:noFill/>
            </a:ln>
            <a:effectLst/>
          </c:spPr>
          <c:invertIfNegative val="0"/>
          <c:cat>
            <c:strRef>
              <c:f>'IF - Til porteføljeanalysen'!$B$15:$B$22</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porteføljeanalysen'!$C$15:$C$22</c:f>
              <c:numCache>
                <c:formatCode>General</c:formatCode>
                <c:ptCount val="8"/>
                <c:pt idx="0">
                  <c:v>5</c:v>
                </c:pt>
                <c:pt idx="1">
                  <c:v>6</c:v>
                </c:pt>
                <c:pt idx="2">
                  <c:v>3</c:v>
                </c:pt>
                <c:pt idx="3">
                  <c:v>8</c:v>
                </c:pt>
                <c:pt idx="4">
                  <c:v>21</c:v>
                </c:pt>
                <c:pt idx="5">
                  <c:v>27</c:v>
                </c:pt>
                <c:pt idx="6">
                  <c:v>2</c:v>
                </c:pt>
                <c:pt idx="7">
                  <c:v>5</c:v>
                </c:pt>
              </c:numCache>
            </c:numRef>
          </c:val>
          <c:extLst>
            <c:ext xmlns:c16="http://schemas.microsoft.com/office/drawing/2014/chart" uri="{C3380CC4-5D6E-409C-BE32-E72D297353CC}">
              <c16:uniqueId val="{00000000-CE2A-4F5C-AA33-6AA8D1E72254}"/>
            </c:ext>
          </c:extLst>
        </c:ser>
        <c:ser>
          <c:idx val="1"/>
          <c:order val="1"/>
          <c:tx>
            <c:strRef>
              <c:f>'IF - Til porteføljeanalysen'!$D$14</c:f>
              <c:strCache>
                <c:ptCount val="1"/>
                <c:pt idx="0">
                  <c:v>2015</c:v>
                </c:pt>
              </c:strCache>
            </c:strRef>
          </c:tx>
          <c:spPr>
            <a:solidFill>
              <a:schemeClr val="accent2"/>
            </a:solidFill>
            <a:ln>
              <a:noFill/>
            </a:ln>
            <a:effectLst/>
          </c:spPr>
          <c:invertIfNegative val="0"/>
          <c:cat>
            <c:strRef>
              <c:f>'IF - Til porteføljeanalysen'!$B$15:$B$22</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porteføljeanalysen'!$D$15:$D$22</c:f>
              <c:numCache>
                <c:formatCode>General</c:formatCode>
                <c:ptCount val="8"/>
                <c:pt idx="0">
                  <c:v>7</c:v>
                </c:pt>
                <c:pt idx="1">
                  <c:v>17</c:v>
                </c:pt>
                <c:pt idx="2">
                  <c:v>4</c:v>
                </c:pt>
                <c:pt idx="3">
                  <c:v>11</c:v>
                </c:pt>
                <c:pt idx="4">
                  <c:v>27</c:v>
                </c:pt>
                <c:pt idx="5">
                  <c:v>18</c:v>
                </c:pt>
                <c:pt idx="6">
                  <c:v>0</c:v>
                </c:pt>
                <c:pt idx="7">
                  <c:v>14</c:v>
                </c:pt>
              </c:numCache>
            </c:numRef>
          </c:val>
          <c:extLst>
            <c:ext xmlns:c16="http://schemas.microsoft.com/office/drawing/2014/chart" uri="{C3380CC4-5D6E-409C-BE32-E72D297353CC}">
              <c16:uniqueId val="{00000001-CE2A-4F5C-AA33-6AA8D1E72254}"/>
            </c:ext>
          </c:extLst>
        </c:ser>
        <c:ser>
          <c:idx val="2"/>
          <c:order val="2"/>
          <c:tx>
            <c:strRef>
              <c:f>'IF - Til porteføljeanalysen'!$E$14</c:f>
              <c:strCache>
                <c:ptCount val="1"/>
                <c:pt idx="0">
                  <c:v>2016</c:v>
                </c:pt>
              </c:strCache>
            </c:strRef>
          </c:tx>
          <c:spPr>
            <a:solidFill>
              <a:schemeClr val="accent3"/>
            </a:solidFill>
            <a:ln>
              <a:noFill/>
            </a:ln>
            <a:effectLst/>
          </c:spPr>
          <c:invertIfNegative val="0"/>
          <c:cat>
            <c:strRef>
              <c:f>'IF - Til porteføljeanalysen'!$B$15:$B$22</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porteføljeanalysen'!$E$15:$E$22</c:f>
              <c:numCache>
                <c:formatCode>General</c:formatCode>
                <c:ptCount val="8"/>
                <c:pt idx="0">
                  <c:v>14</c:v>
                </c:pt>
                <c:pt idx="1">
                  <c:v>25</c:v>
                </c:pt>
                <c:pt idx="2">
                  <c:v>6</c:v>
                </c:pt>
                <c:pt idx="3">
                  <c:v>14</c:v>
                </c:pt>
                <c:pt idx="4">
                  <c:v>24</c:v>
                </c:pt>
                <c:pt idx="5">
                  <c:v>39</c:v>
                </c:pt>
                <c:pt idx="6">
                  <c:v>1</c:v>
                </c:pt>
                <c:pt idx="7">
                  <c:v>24</c:v>
                </c:pt>
              </c:numCache>
            </c:numRef>
          </c:val>
          <c:extLst>
            <c:ext xmlns:c16="http://schemas.microsoft.com/office/drawing/2014/chart" uri="{C3380CC4-5D6E-409C-BE32-E72D297353CC}">
              <c16:uniqueId val="{00000002-CE2A-4F5C-AA33-6AA8D1E72254}"/>
            </c:ext>
          </c:extLst>
        </c:ser>
        <c:ser>
          <c:idx val="3"/>
          <c:order val="3"/>
          <c:tx>
            <c:strRef>
              <c:f>'IF - Til porteføljeanalysen'!$F$14</c:f>
              <c:strCache>
                <c:ptCount val="1"/>
                <c:pt idx="0">
                  <c:v>2017</c:v>
                </c:pt>
              </c:strCache>
            </c:strRef>
          </c:tx>
          <c:spPr>
            <a:solidFill>
              <a:schemeClr val="accent4"/>
            </a:solidFill>
            <a:ln>
              <a:noFill/>
            </a:ln>
            <a:effectLst/>
          </c:spPr>
          <c:invertIfNegative val="0"/>
          <c:cat>
            <c:strRef>
              <c:f>'IF - Til porteføljeanalysen'!$B$15:$B$22</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porteføljeanalysen'!$F$15:$F$22</c:f>
              <c:numCache>
                <c:formatCode>General</c:formatCode>
                <c:ptCount val="8"/>
                <c:pt idx="0">
                  <c:v>11</c:v>
                </c:pt>
                <c:pt idx="1">
                  <c:v>23</c:v>
                </c:pt>
                <c:pt idx="2">
                  <c:v>1</c:v>
                </c:pt>
                <c:pt idx="3">
                  <c:v>8</c:v>
                </c:pt>
                <c:pt idx="4">
                  <c:v>27</c:v>
                </c:pt>
                <c:pt idx="5">
                  <c:v>39</c:v>
                </c:pt>
                <c:pt idx="6">
                  <c:v>1</c:v>
                </c:pt>
                <c:pt idx="7">
                  <c:v>52</c:v>
                </c:pt>
              </c:numCache>
            </c:numRef>
          </c:val>
          <c:extLst>
            <c:ext xmlns:c16="http://schemas.microsoft.com/office/drawing/2014/chart" uri="{C3380CC4-5D6E-409C-BE32-E72D297353CC}">
              <c16:uniqueId val="{00000003-CE2A-4F5C-AA33-6AA8D1E72254}"/>
            </c:ext>
          </c:extLst>
        </c:ser>
        <c:ser>
          <c:idx val="4"/>
          <c:order val="4"/>
          <c:tx>
            <c:strRef>
              <c:f>'IF - Til porteføljeanalysen'!$G$14</c:f>
              <c:strCache>
                <c:ptCount val="1"/>
                <c:pt idx="0">
                  <c:v>2018</c:v>
                </c:pt>
              </c:strCache>
            </c:strRef>
          </c:tx>
          <c:spPr>
            <a:solidFill>
              <a:schemeClr val="accent5"/>
            </a:solidFill>
            <a:ln>
              <a:noFill/>
            </a:ln>
            <a:effectLst/>
          </c:spPr>
          <c:invertIfNegative val="0"/>
          <c:cat>
            <c:strRef>
              <c:f>'IF - Til porteføljeanalysen'!$B$15:$B$22</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porteføljeanalysen'!$G$15:$G$22</c:f>
              <c:numCache>
                <c:formatCode>General</c:formatCode>
                <c:ptCount val="8"/>
                <c:pt idx="0">
                  <c:v>11</c:v>
                </c:pt>
                <c:pt idx="1">
                  <c:v>20</c:v>
                </c:pt>
                <c:pt idx="2">
                  <c:v>1</c:v>
                </c:pt>
                <c:pt idx="3">
                  <c:v>7</c:v>
                </c:pt>
                <c:pt idx="4">
                  <c:v>30</c:v>
                </c:pt>
                <c:pt idx="5">
                  <c:v>40</c:v>
                </c:pt>
                <c:pt idx="6">
                  <c:v>0</c:v>
                </c:pt>
                <c:pt idx="7">
                  <c:v>82</c:v>
                </c:pt>
              </c:numCache>
            </c:numRef>
          </c:val>
          <c:extLst>
            <c:ext xmlns:c16="http://schemas.microsoft.com/office/drawing/2014/chart" uri="{C3380CC4-5D6E-409C-BE32-E72D297353CC}">
              <c16:uniqueId val="{00000004-CE2A-4F5C-AA33-6AA8D1E72254}"/>
            </c:ext>
          </c:extLst>
        </c:ser>
        <c:ser>
          <c:idx val="5"/>
          <c:order val="5"/>
          <c:tx>
            <c:strRef>
              <c:f>'IF - Til porteføljeanalysen'!$H$14</c:f>
              <c:strCache>
                <c:ptCount val="1"/>
                <c:pt idx="0">
                  <c:v>2019</c:v>
                </c:pt>
              </c:strCache>
            </c:strRef>
          </c:tx>
          <c:spPr>
            <a:solidFill>
              <a:schemeClr val="accent6"/>
            </a:solidFill>
            <a:ln>
              <a:noFill/>
            </a:ln>
            <a:effectLst/>
          </c:spPr>
          <c:invertIfNegative val="0"/>
          <c:cat>
            <c:strRef>
              <c:f>'IF - Til porteføljeanalysen'!$B$15:$B$22</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porteføljeanalysen'!$H$15:$H$22</c:f>
              <c:numCache>
                <c:formatCode>General</c:formatCode>
                <c:ptCount val="8"/>
                <c:pt idx="0">
                  <c:v>10</c:v>
                </c:pt>
                <c:pt idx="1">
                  <c:v>34</c:v>
                </c:pt>
                <c:pt idx="2">
                  <c:v>7</c:v>
                </c:pt>
                <c:pt idx="3">
                  <c:v>10</c:v>
                </c:pt>
                <c:pt idx="4">
                  <c:v>38</c:v>
                </c:pt>
                <c:pt idx="5">
                  <c:v>35</c:v>
                </c:pt>
                <c:pt idx="6">
                  <c:v>4</c:v>
                </c:pt>
                <c:pt idx="7">
                  <c:v>110</c:v>
                </c:pt>
              </c:numCache>
            </c:numRef>
          </c:val>
          <c:extLst>
            <c:ext xmlns:c16="http://schemas.microsoft.com/office/drawing/2014/chart" uri="{C3380CC4-5D6E-409C-BE32-E72D297353CC}">
              <c16:uniqueId val="{00000005-CE2A-4F5C-AA33-6AA8D1E72254}"/>
            </c:ext>
          </c:extLst>
        </c:ser>
        <c:ser>
          <c:idx val="6"/>
          <c:order val="6"/>
          <c:tx>
            <c:strRef>
              <c:f>'IF - Til porteføljeanalysen'!$I$14</c:f>
              <c:strCache>
                <c:ptCount val="1"/>
                <c:pt idx="0">
                  <c:v>2020</c:v>
                </c:pt>
              </c:strCache>
            </c:strRef>
          </c:tx>
          <c:spPr>
            <a:solidFill>
              <a:schemeClr val="accent1">
                <a:lumMod val="60000"/>
              </a:schemeClr>
            </a:solidFill>
            <a:ln>
              <a:noFill/>
            </a:ln>
            <a:effectLst/>
          </c:spPr>
          <c:invertIfNegative val="0"/>
          <c:cat>
            <c:strRef>
              <c:f>'IF - Til porteføljeanalysen'!$B$15:$B$22</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porteføljeanalysen'!$I$15:$I$22</c:f>
              <c:numCache>
                <c:formatCode>General</c:formatCode>
                <c:ptCount val="8"/>
                <c:pt idx="0">
                  <c:v>12</c:v>
                </c:pt>
                <c:pt idx="1">
                  <c:v>43</c:v>
                </c:pt>
                <c:pt idx="2">
                  <c:v>4</c:v>
                </c:pt>
                <c:pt idx="3">
                  <c:v>18</c:v>
                </c:pt>
                <c:pt idx="4">
                  <c:v>39</c:v>
                </c:pt>
                <c:pt idx="5">
                  <c:v>49</c:v>
                </c:pt>
                <c:pt idx="6">
                  <c:v>5</c:v>
                </c:pt>
                <c:pt idx="7">
                  <c:v>116</c:v>
                </c:pt>
              </c:numCache>
            </c:numRef>
          </c:val>
          <c:extLst>
            <c:ext xmlns:c16="http://schemas.microsoft.com/office/drawing/2014/chart" uri="{C3380CC4-5D6E-409C-BE32-E72D297353CC}">
              <c16:uniqueId val="{00000006-CE2A-4F5C-AA33-6AA8D1E72254}"/>
            </c:ext>
          </c:extLst>
        </c:ser>
        <c:dLbls>
          <c:showLegendKey val="0"/>
          <c:showVal val="0"/>
          <c:showCatName val="0"/>
          <c:showSerName val="0"/>
          <c:showPercent val="0"/>
          <c:showBubbleSize val="0"/>
        </c:dLbls>
        <c:gapWidth val="219"/>
        <c:overlap val="-27"/>
        <c:axId val="2053951839"/>
        <c:axId val="2053950175"/>
      </c:barChart>
      <c:catAx>
        <c:axId val="205395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3950175"/>
        <c:crosses val="autoZero"/>
        <c:auto val="1"/>
        <c:lblAlgn val="ctr"/>
        <c:lblOffset val="100"/>
        <c:noMultiLvlLbl val="0"/>
      </c:catAx>
      <c:valAx>
        <c:axId val="2053950175"/>
        <c:scaling>
          <c:orientation val="minMax"/>
          <c:max val="1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3951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Norske MSCA IF søknader innstilt til bevilgning</a:t>
            </a:r>
          </a:p>
        </c:rich>
      </c:tx>
      <c:layout>
        <c:manualLayout>
          <c:xMode val="edge"/>
          <c:yMode val="edge"/>
          <c:x val="0.14216012419605234"/>
          <c:y val="1.4051522248243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048601683410263"/>
          <c:y val="0.20141382327209098"/>
          <c:w val="0.89951398316589737"/>
          <c:h val="0.36490498687664041"/>
        </c:manualLayout>
      </c:layout>
      <c:barChart>
        <c:barDir val="col"/>
        <c:grouping val="clustered"/>
        <c:varyColors val="0"/>
        <c:ser>
          <c:idx val="0"/>
          <c:order val="0"/>
          <c:tx>
            <c:strRef>
              <c:f>'IF - Til porteføljeanalysen'!$C$26</c:f>
              <c:strCache>
                <c:ptCount val="1"/>
                <c:pt idx="0">
                  <c:v>2014</c:v>
                </c:pt>
              </c:strCache>
            </c:strRef>
          </c:tx>
          <c:spPr>
            <a:solidFill>
              <a:schemeClr val="accent1"/>
            </a:solidFill>
            <a:ln>
              <a:noFill/>
            </a:ln>
            <a:effectLst/>
          </c:spPr>
          <c:invertIfNegative val="0"/>
          <c:cat>
            <c:strRef>
              <c:f>'IF - Til porteføljeanalysen'!$B$27:$B$34</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porteføljeanalysen'!$C$27:$C$34</c:f>
              <c:numCache>
                <c:formatCode>General</c:formatCode>
                <c:ptCount val="8"/>
                <c:pt idx="0">
                  <c:v>0</c:v>
                </c:pt>
                <c:pt idx="1">
                  <c:v>1</c:v>
                </c:pt>
                <c:pt idx="2">
                  <c:v>1</c:v>
                </c:pt>
                <c:pt idx="3">
                  <c:v>0</c:v>
                </c:pt>
                <c:pt idx="4">
                  <c:v>3</c:v>
                </c:pt>
                <c:pt idx="5">
                  <c:v>4</c:v>
                </c:pt>
                <c:pt idx="6">
                  <c:v>0</c:v>
                </c:pt>
                <c:pt idx="7">
                  <c:v>1</c:v>
                </c:pt>
              </c:numCache>
            </c:numRef>
          </c:val>
          <c:extLst>
            <c:ext xmlns:c16="http://schemas.microsoft.com/office/drawing/2014/chart" uri="{C3380CC4-5D6E-409C-BE32-E72D297353CC}">
              <c16:uniqueId val="{00000000-E8E4-4D00-BD36-19702424C516}"/>
            </c:ext>
          </c:extLst>
        </c:ser>
        <c:ser>
          <c:idx val="1"/>
          <c:order val="1"/>
          <c:tx>
            <c:strRef>
              <c:f>'IF - Til porteføljeanalysen'!$D$26</c:f>
              <c:strCache>
                <c:ptCount val="1"/>
                <c:pt idx="0">
                  <c:v>2015</c:v>
                </c:pt>
              </c:strCache>
            </c:strRef>
          </c:tx>
          <c:spPr>
            <a:solidFill>
              <a:schemeClr val="accent2"/>
            </a:solidFill>
            <a:ln>
              <a:noFill/>
            </a:ln>
            <a:effectLst/>
          </c:spPr>
          <c:invertIfNegative val="0"/>
          <c:cat>
            <c:strRef>
              <c:f>'IF - Til porteføljeanalysen'!$B$27:$B$34</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porteføljeanalysen'!$D$27:$D$34</c:f>
              <c:numCache>
                <c:formatCode>General</c:formatCode>
                <c:ptCount val="8"/>
                <c:pt idx="0">
                  <c:v>1</c:v>
                </c:pt>
                <c:pt idx="1">
                  <c:v>2</c:v>
                </c:pt>
                <c:pt idx="2">
                  <c:v>0</c:v>
                </c:pt>
                <c:pt idx="3">
                  <c:v>0</c:v>
                </c:pt>
                <c:pt idx="4">
                  <c:v>1</c:v>
                </c:pt>
                <c:pt idx="5">
                  <c:v>1</c:v>
                </c:pt>
                <c:pt idx="6">
                  <c:v>0</c:v>
                </c:pt>
                <c:pt idx="7">
                  <c:v>1</c:v>
                </c:pt>
              </c:numCache>
            </c:numRef>
          </c:val>
          <c:extLst>
            <c:ext xmlns:c16="http://schemas.microsoft.com/office/drawing/2014/chart" uri="{C3380CC4-5D6E-409C-BE32-E72D297353CC}">
              <c16:uniqueId val="{00000001-E8E4-4D00-BD36-19702424C516}"/>
            </c:ext>
          </c:extLst>
        </c:ser>
        <c:ser>
          <c:idx val="2"/>
          <c:order val="2"/>
          <c:tx>
            <c:strRef>
              <c:f>'IF - Til porteføljeanalysen'!$E$26</c:f>
              <c:strCache>
                <c:ptCount val="1"/>
                <c:pt idx="0">
                  <c:v>2016</c:v>
                </c:pt>
              </c:strCache>
            </c:strRef>
          </c:tx>
          <c:spPr>
            <a:solidFill>
              <a:schemeClr val="accent3"/>
            </a:solidFill>
            <a:ln>
              <a:noFill/>
            </a:ln>
            <a:effectLst/>
          </c:spPr>
          <c:invertIfNegative val="0"/>
          <c:cat>
            <c:strRef>
              <c:f>'IF - Til porteføljeanalysen'!$B$27:$B$34</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porteføljeanalysen'!$E$27:$E$34</c:f>
              <c:numCache>
                <c:formatCode>General</c:formatCode>
                <c:ptCount val="8"/>
                <c:pt idx="0">
                  <c:v>0</c:v>
                </c:pt>
                <c:pt idx="1">
                  <c:v>5</c:v>
                </c:pt>
                <c:pt idx="2">
                  <c:v>0</c:v>
                </c:pt>
                <c:pt idx="3">
                  <c:v>0</c:v>
                </c:pt>
                <c:pt idx="4">
                  <c:v>7</c:v>
                </c:pt>
                <c:pt idx="5">
                  <c:v>2</c:v>
                </c:pt>
                <c:pt idx="6">
                  <c:v>0</c:v>
                </c:pt>
                <c:pt idx="7">
                  <c:v>6</c:v>
                </c:pt>
              </c:numCache>
            </c:numRef>
          </c:val>
          <c:extLst>
            <c:ext xmlns:c16="http://schemas.microsoft.com/office/drawing/2014/chart" uri="{C3380CC4-5D6E-409C-BE32-E72D297353CC}">
              <c16:uniqueId val="{00000002-E8E4-4D00-BD36-19702424C516}"/>
            </c:ext>
          </c:extLst>
        </c:ser>
        <c:ser>
          <c:idx val="3"/>
          <c:order val="3"/>
          <c:tx>
            <c:strRef>
              <c:f>'IF - Til porteføljeanalysen'!$F$26</c:f>
              <c:strCache>
                <c:ptCount val="1"/>
                <c:pt idx="0">
                  <c:v>2017</c:v>
                </c:pt>
              </c:strCache>
            </c:strRef>
          </c:tx>
          <c:spPr>
            <a:solidFill>
              <a:schemeClr val="accent4"/>
            </a:solidFill>
            <a:ln>
              <a:noFill/>
            </a:ln>
            <a:effectLst/>
          </c:spPr>
          <c:invertIfNegative val="0"/>
          <c:cat>
            <c:strRef>
              <c:f>'IF - Til porteføljeanalysen'!$B$27:$B$34</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porteføljeanalysen'!$F$27:$F$34</c:f>
              <c:numCache>
                <c:formatCode>General</c:formatCode>
                <c:ptCount val="8"/>
                <c:pt idx="0">
                  <c:v>2</c:v>
                </c:pt>
                <c:pt idx="1">
                  <c:v>4</c:v>
                </c:pt>
                <c:pt idx="2">
                  <c:v>0</c:v>
                </c:pt>
                <c:pt idx="3">
                  <c:v>1</c:v>
                </c:pt>
                <c:pt idx="4">
                  <c:v>2</c:v>
                </c:pt>
                <c:pt idx="5">
                  <c:v>6</c:v>
                </c:pt>
                <c:pt idx="6">
                  <c:v>0</c:v>
                </c:pt>
                <c:pt idx="7">
                  <c:v>10</c:v>
                </c:pt>
              </c:numCache>
            </c:numRef>
          </c:val>
          <c:extLst>
            <c:ext xmlns:c16="http://schemas.microsoft.com/office/drawing/2014/chart" uri="{C3380CC4-5D6E-409C-BE32-E72D297353CC}">
              <c16:uniqueId val="{00000003-E8E4-4D00-BD36-19702424C516}"/>
            </c:ext>
          </c:extLst>
        </c:ser>
        <c:ser>
          <c:idx val="4"/>
          <c:order val="4"/>
          <c:tx>
            <c:strRef>
              <c:f>'IF - Til porteføljeanalysen'!$G$26</c:f>
              <c:strCache>
                <c:ptCount val="1"/>
                <c:pt idx="0">
                  <c:v>2018</c:v>
                </c:pt>
              </c:strCache>
            </c:strRef>
          </c:tx>
          <c:spPr>
            <a:solidFill>
              <a:schemeClr val="accent5"/>
            </a:solidFill>
            <a:ln>
              <a:noFill/>
            </a:ln>
            <a:effectLst/>
          </c:spPr>
          <c:invertIfNegative val="0"/>
          <c:cat>
            <c:strRef>
              <c:f>'IF - Til porteføljeanalysen'!$B$27:$B$34</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porteføljeanalysen'!$G$27:$G$34</c:f>
              <c:numCache>
                <c:formatCode>General</c:formatCode>
                <c:ptCount val="8"/>
                <c:pt idx="0">
                  <c:v>0</c:v>
                </c:pt>
                <c:pt idx="1">
                  <c:v>4</c:v>
                </c:pt>
                <c:pt idx="2">
                  <c:v>0</c:v>
                </c:pt>
                <c:pt idx="3">
                  <c:v>0</c:v>
                </c:pt>
                <c:pt idx="4">
                  <c:v>1</c:v>
                </c:pt>
                <c:pt idx="5">
                  <c:v>3</c:v>
                </c:pt>
                <c:pt idx="6">
                  <c:v>0</c:v>
                </c:pt>
                <c:pt idx="7">
                  <c:v>15</c:v>
                </c:pt>
              </c:numCache>
            </c:numRef>
          </c:val>
          <c:extLst>
            <c:ext xmlns:c16="http://schemas.microsoft.com/office/drawing/2014/chart" uri="{C3380CC4-5D6E-409C-BE32-E72D297353CC}">
              <c16:uniqueId val="{00000004-E8E4-4D00-BD36-19702424C516}"/>
            </c:ext>
          </c:extLst>
        </c:ser>
        <c:ser>
          <c:idx val="5"/>
          <c:order val="5"/>
          <c:tx>
            <c:strRef>
              <c:f>'IF - Til porteføljeanalysen'!$H$26</c:f>
              <c:strCache>
                <c:ptCount val="1"/>
                <c:pt idx="0">
                  <c:v>2019</c:v>
                </c:pt>
              </c:strCache>
            </c:strRef>
          </c:tx>
          <c:spPr>
            <a:solidFill>
              <a:schemeClr val="accent6"/>
            </a:solidFill>
            <a:ln>
              <a:noFill/>
            </a:ln>
            <a:effectLst/>
          </c:spPr>
          <c:invertIfNegative val="0"/>
          <c:cat>
            <c:strRef>
              <c:f>'IF - Til porteføljeanalysen'!$B$27:$B$34</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porteføljeanalysen'!$H$27:$H$34</c:f>
              <c:numCache>
                <c:formatCode>General</c:formatCode>
                <c:ptCount val="8"/>
                <c:pt idx="0">
                  <c:v>1</c:v>
                </c:pt>
                <c:pt idx="1">
                  <c:v>5</c:v>
                </c:pt>
                <c:pt idx="2">
                  <c:v>0</c:v>
                </c:pt>
                <c:pt idx="3">
                  <c:v>1</c:v>
                </c:pt>
                <c:pt idx="4">
                  <c:v>3</c:v>
                </c:pt>
                <c:pt idx="5">
                  <c:v>6</c:v>
                </c:pt>
                <c:pt idx="6">
                  <c:v>1</c:v>
                </c:pt>
                <c:pt idx="7">
                  <c:v>19</c:v>
                </c:pt>
              </c:numCache>
            </c:numRef>
          </c:val>
          <c:extLst>
            <c:ext xmlns:c16="http://schemas.microsoft.com/office/drawing/2014/chart" uri="{C3380CC4-5D6E-409C-BE32-E72D297353CC}">
              <c16:uniqueId val="{00000005-E8E4-4D00-BD36-19702424C516}"/>
            </c:ext>
          </c:extLst>
        </c:ser>
        <c:ser>
          <c:idx val="6"/>
          <c:order val="6"/>
          <c:tx>
            <c:strRef>
              <c:f>'IF - Til porteføljeanalysen'!$I$26</c:f>
              <c:strCache>
                <c:ptCount val="1"/>
                <c:pt idx="0">
                  <c:v>2020</c:v>
                </c:pt>
              </c:strCache>
            </c:strRef>
          </c:tx>
          <c:spPr>
            <a:solidFill>
              <a:schemeClr val="accent1">
                <a:lumMod val="60000"/>
              </a:schemeClr>
            </a:solidFill>
            <a:ln>
              <a:noFill/>
            </a:ln>
            <a:effectLst/>
          </c:spPr>
          <c:invertIfNegative val="0"/>
          <c:cat>
            <c:strRef>
              <c:f>'IF - Til porteføljeanalysen'!$B$27:$B$34</c:f>
              <c:strCache>
                <c:ptCount val="8"/>
                <c:pt idx="0">
                  <c:v>Chemistry</c:v>
                </c:pt>
                <c:pt idx="1">
                  <c:v>Information Science and Engineering</c:v>
                </c:pt>
                <c:pt idx="2">
                  <c:v>Mathematics</c:v>
                </c:pt>
                <c:pt idx="3">
                  <c:v>Physics</c:v>
                </c:pt>
                <c:pt idx="4">
                  <c:v>Environmental and Geosciences</c:v>
                </c:pt>
                <c:pt idx="5">
                  <c:v>Life Sciences</c:v>
                </c:pt>
                <c:pt idx="6">
                  <c:v>Economic sciences</c:v>
                </c:pt>
                <c:pt idx="7">
                  <c:v>Soc. Sciences and Humanities</c:v>
                </c:pt>
              </c:strCache>
            </c:strRef>
          </c:cat>
          <c:val>
            <c:numRef>
              <c:f>'IF - Til porteføljeanalysen'!$I$27:$I$34</c:f>
              <c:numCache>
                <c:formatCode>General</c:formatCode>
                <c:ptCount val="8"/>
                <c:pt idx="0">
                  <c:v>1</c:v>
                </c:pt>
                <c:pt idx="1">
                  <c:v>3</c:v>
                </c:pt>
                <c:pt idx="2">
                  <c:v>0</c:v>
                </c:pt>
                <c:pt idx="3">
                  <c:v>1</c:v>
                </c:pt>
                <c:pt idx="4">
                  <c:v>11</c:v>
                </c:pt>
                <c:pt idx="5">
                  <c:v>4</c:v>
                </c:pt>
                <c:pt idx="6">
                  <c:v>0</c:v>
                </c:pt>
                <c:pt idx="7">
                  <c:v>20</c:v>
                </c:pt>
              </c:numCache>
            </c:numRef>
          </c:val>
          <c:extLst>
            <c:ext xmlns:c16="http://schemas.microsoft.com/office/drawing/2014/chart" uri="{C3380CC4-5D6E-409C-BE32-E72D297353CC}">
              <c16:uniqueId val="{00000006-E8E4-4D00-BD36-19702424C516}"/>
            </c:ext>
          </c:extLst>
        </c:ser>
        <c:dLbls>
          <c:showLegendKey val="0"/>
          <c:showVal val="0"/>
          <c:showCatName val="0"/>
          <c:showSerName val="0"/>
          <c:showPercent val="0"/>
          <c:showBubbleSize val="0"/>
        </c:dLbls>
        <c:gapWidth val="219"/>
        <c:overlap val="-27"/>
        <c:axId val="92739727"/>
        <c:axId val="92746799"/>
      </c:barChart>
      <c:catAx>
        <c:axId val="92739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46799"/>
        <c:crosses val="autoZero"/>
        <c:auto val="1"/>
        <c:lblAlgn val="ctr"/>
        <c:lblOffset val="100"/>
        <c:noMultiLvlLbl val="0"/>
      </c:catAx>
      <c:valAx>
        <c:axId val="92746799"/>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39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'Unge forskertalenter'!$J$3</c:f>
              <c:strCache>
                <c:ptCount val="1"/>
                <c:pt idx="0">
                  <c:v>Søknader bevilget Unge forskertalenter</c:v>
                </c:pt>
              </c:strCache>
            </c:strRef>
          </c:tx>
          <c:spPr>
            <a:solidFill>
              <a:srgbClr val="00338E"/>
            </a:solidFill>
            <a:ln w="28575">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'Unge forskertalenter'!$I$4:$I$12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'Unge forskertalenter'!$J$4:$J$12</c:f>
              <c:numCache>
                <c:formatCode>General</c:formatCode>
                <c:ptCount val="9"/>
                <c:pt idx="0">
                  <c:v>64</c:v>
                </c:pt>
                <c:pt idx="1">
                  <c:v>45</c:v>
                </c:pt>
                <c:pt idx="2">
                  <c:v>57</c:v>
                </c:pt>
                <c:pt idx="3">
                  <c:v>47</c:v>
                </c:pt>
                <c:pt idx="4">
                  <c:v>45</c:v>
                </c:pt>
                <c:pt idx="5">
                  <c:v>40</c:v>
                </c:pt>
                <c:pt idx="6">
                  <c:v>56</c:v>
                </c:pt>
                <c:pt idx="7">
                  <c:v>46</c:v>
                </c:pt>
                <c:pt idx="8">
                  <c:v>54</c:v>
                </c:pt>
              </c:numCache>
            </c:numRef>
          </c:val>
          <c:extLst>
            <c:ext xmlns:c16="http://schemas.microsoft.com/office/drawing/2014/chart" uri="{C3380CC4-5D6E-409C-BE32-E72D297353CC}">
              <c16:uniqueId val="{00000000-A3A9-4478-A6BB-84383AE4339B}"/>
            </c:ext>
          </c:extLst>
        </c:ser>
        <c:ser>
          <c:idx val="1"/>
          <c:order val="1"/>
          <c:tx>
            <c:strRef>
              <c:f>'Unge forskertalenter'!$K$3</c:f>
              <c:strCache>
                <c:ptCount val="1"/>
                <c:pt idx="0">
                  <c:v>Søknader med avslag</c:v>
                </c:pt>
              </c:strCache>
            </c:strRef>
          </c:tx>
          <c:spPr>
            <a:solidFill>
              <a:srgbClr val="A3B4BC"/>
            </a:solidFill>
            <a:ln w="28575">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'Unge forskertalenter'!$I$4:$I$12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'Unge forskertalenter'!$K$4:$K$12</c:f>
              <c:numCache>
                <c:formatCode>General</c:formatCode>
                <c:ptCount val="9"/>
                <c:pt idx="0">
                  <c:v>287</c:v>
                </c:pt>
                <c:pt idx="1">
                  <c:v>178</c:v>
                </c:pt>
                <c:pt idx="2">
                  <c:v>267</c:v>
                </c:pt>
                <c:pt idx="3">
                  <c:v>306</c:v>
                </c:pt>
                <c:pt idx="4">
                  <c:v>376</c:v>
                </c:pt>
                <c:pt idx="5">
                  <c:v>341</c:v>
                </c:pt>
                <c:pt idx="6">
                  <c:v>404</c:v>
                </c:pt>
                <c:pt idx="7">
                  <c:v>465</c:v>
                </c:pt>
                <c:pt idx="8">
                  <c:v>477</c:v>
                </c:pt>
              </c:numCache>
            </c:numRef>
          </c:val>
          <c:extLst>
            <c:ext xmlns:c16="http://schemas.microsoft.com/office/drawing/2014/chart" uri="{C3380CC4-5D6E-409C-BE32-E72D297353CC}">
              <c16:uniqueId val="{00000001-A3A9-4478-A6BB-84383AE4339B}"/>
            </c:ext>
          </c:extLst>
        </c:ser>
        <c:dLbls>
          <c:showLegendKey val="0"/>
          <c:showVal val="0"/>
          <c:showCatName val="0"/>
          <c:showSerName val="0"/>
          <c:showPercent val="0"/>
          <c:showBubbleSize val="0"/>
        </c:dLbls>
        <c:gapWidth val="150"/>
        <c:overlap val="100"/>
        <c:axId val="832336975"/>
        <c:axId val="832338223"/>
      </c:barChart>
      <c:lineChart>
        <c:grouping val="standard"/>
        <c:varyColors val="0"/>
        <c:ser>
          <c:idx val="2"/>
          <c:order val="2"/>
          <c:tx>
            <c:v>Innvilgelsesprosent</c:v>
          </c:tx>
          <c:spPr>
            <a:ln w="28575" cap="rnd">
              <a:solidFill>
                <a:srgbClr val="01BDE2"/>
              </a:solidFill>
              <a:round/>
            </a:ln>
            <a:effectLst/>
          </c:spPr>
          <c:marker>
            <c:symbol val="none"/>
          </c:marker>
          <c:val>
            <c:numRef>
              <c:f>'Unge forskertalenter'!$M$4:$M$12</c:f>
              <c:numCache>
                <c:formatCode>0.00%</c:formatCode>
                <c:ptCount val="9"/>
                <c:pt idx="0">
                  <c:v>0.18233618233618235</c:v>
                </c:pt>
                <c:pt idx="1">
                  <c:v>0.20179372197309417</c:v>
                </c:pt>
                <c:pt idx="2">
                  <c:v>0.17592592592592593</c:v>
                </c:pt>
                <c:pt idx="3">
                  <c:v>0.13314447592067988</c:v>
                </c:pt>
                <c:pt idx="4">
                  <c:v>0.10688836104513064</c:v>
                </c:pt>
                <c:pt idx="5">
                  <c:v>0.10498687664041995</c:v>
                </c:pt>
                <c:pt idx="6">
                  <c:v>0.12173913043478261</c:v>
                </c:pt>
                <c:pt idx="7">
                  <c:v>9.0019569471624261E-2</c:v>
                </c:pt>
                <c:pt idx="8">
                  <c:v>0.10169491525423729</c:v>
                </c:pt>
              </c:numCache>
            </c:numRef>
          </c:val>
          <c:smooth val="0"/>
          <c:extLst>
            <c:ext xmlns:c16="http://schemas.microsoft.com/office/drawing/2014/chart" uri="{C3380CC4-5D6E-409C-BE32-E72D297353CC}">
              <c16:uniqueId val="{00000002-A3A9-4478-A6BB-84383AE4339B}"/>
            </c:ext>
          </c:extLst>
        </c:ser>
        <c:dLbls>
          <c:showLegendKey val="0"/>
          <c:showVal val="0"/>
          <c:showCatName val="0"/>
          <c:showSerName val="0"/>
          <c:showPercent val="0"/>
          <c:showBubbleSize val="0"/>
        </c:dLbls>
        <c:marker val="1"/>
        <c:smooth val="0"/>
        <c:axId val="836035007"/>
        <c:axId val="836036671"/>
      </c:lineChart>
      <c:catAx>
        <c:axId val="832336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832338223"/>
        <c:crosses val="autoZero"/>
        <c:auto val="1"/>
        <c:lblAlgn val="ctr"/>
        <c:lblOffset val="100"/>
        <c:noMultiLvlLbl val="0"/>
      </c:catAx>
      <c:valAx>
        <c:axId val="832338223"/>
        <c:scaling>
          <c:orientation val="minMax"/>
          <c:max val="550"/>
        </c:scaling>
        <c:delete val="0"/>
        <c:axPos val="l"/>
        <c:majorGridlines>
          <c:spPr>
            <a:ln w="12700" cap="flat" cmpd="sng" algn="ctr">
              <a:solidFill>
                <a:srgbClr val="D2D6E2"/>
              </a:solidFill>
              <a:prstDash val="solid"/>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832336975"/>
        <c:crosses val="autoZero"/>
        <c:crossBetween val="between"/>
        <c:majorUnit val="50"/>
      </c:valAx>
      <c:valAx>
        <c:axId val="836036671"/>
        <c:scaling>
          <c:orientation val="minMax"/>
          <c:max val="0.55000000000000004"/>
          <c:min val="0"/>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836035007"/>
        <c:crosses val="max"/>
        <c:crossBetween val="between"/>
        <c:majorUnit val="5.000000000000001E-2"/>
      </c:valAx>
      <c:catAx>
        <c:axId val="836035007"/>
        <c:scaling>
          <c:orientation val="minMax"/>
        </c:scaling>
        <c:delete val="1"/>
        <c:axPos val="b"/>
        <c:majorTickMark val="out"/>
        <c:minorTickMark val="none"/>
        <c:tickLblPos val="nextTo"/>
        <c:crossAx val="8360366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'diagram ny'!$H$4</c:f>
              <c:strCache>
                <c:ptCount val="1"/>
                <c:pt idx="0">
                  <c:v>UoH-sektor</c:v>
                </c:pt>
              </c:strCache>
            </c:strRef>
          </c:tx>
          <c:spPr>
            <a:ln w="28575" cap="rnd" cmpd="sng" algn="ctr">
              <a:solidFill>
                <a:srgbClr val="00338E"/>
              </a:solidFill>
              <a:prstDash val="solid"/>
              <a:round/>
              <a:headEnd type="none" w="med" len="med"/>
              <a:tailEnd type="none" w="med" len="med"/>
            </a:ln>
            <a:effectLst/>
          </c:spPr>
          <c:marker>
            <c:symbol val="circle"/>
            <c:size val="5"/>
            <c:spPr>
              <a:solidFill>
                <a:srgbClr val="00338E"/>
              </a:solidFill>
              <a:ln w="28575">
                <a:solidFill>
                  <a:srgbClr val="00338E"/>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ny'!$H$5:$H$14</c:f>
              <c:numCache>
                <c:formatCode>#\ ##0.0</c:formatCode>
                <c:ptCount val="10"/>
                <c:pt idx="0">
                  <c:v>560.03905799999995</c:v>
                </c:pt>
                <c:pt idx="1">
                  <c:v>535.08405699999992</c:v>
                </c:pt>
                <c:pt idx="2">
                  <c:v>572.24821999999995</c:v>
                </c:pt>
                <c:pt idx="3">
                  <c:v>620.23571500000003</c:v>
                </c:pt>
                <c:pt idx="4">
                  <c:v>657.23568999999998</c:v>
                </c:pt>
                <c:pt idx="5">
                  <c:v>714.98152699999991</c:v>
                </c:pt>
                <c:pt idx="6">
                  <c:v>702.57818000000009</c:v>
                </c:pt>
                <c:pt idx="7">
                  <c:v>688.74401899999998</c:v>
                </c:pt>
                <c:pt idx="8">
                  <c:v>666.77985699999988</c:v>
                </c:pt>
                <c:pt idx="9">
                  <c:v>643.486535</c:v>
                </c:pt>
              </c:numCache>
            </c:numRef>
          </c:val>
          <c:smooth val="0"/>
          <c:extLst>
            <c:ext xmlns:c16="http://schemas.microsoft.com/office/drawing/2014/chart" uri="{C3380CC4-5D6E-409C-BE32-E72D297353CC}">
              <c16:uniqueId val="{00000000-5DAC-4FC5-8EA5-71B33C9C60B6}"/>
            </c:ext>
          </c:extLst>
        </c:ser>
        <c:ser>
          <c:idx val="1"/>
          <c:order val="1"/>
          <c:tx>
            <c:strRef>
              <c:f>'diagram ny'!$I$4</c:f>
              <c:strCache>
                <c:ptCount val="1"/>
                <c:pt idx="0">
                  <c:v>Instituttsektor</c:v>
                </c:pt>
              </c:strCache>
            </c:strRef>
          </c:tx>
          <c:spPr>
            <a:ln w="28575" cap="rnd" cmpd="sng" algn="ctr">
              <a:solidFill>
                <a:srgbClr val="A3B4BC"/>
              </a:solidFill>
              <a:prstDash val="solid"/>
              <a:round/>
              <a:headEnd type="none" w="med" len="med"/>
              <a:tailEnd type="none" w="med" len="med"/>
            </a:ln>
            <a:effectLst/>
          </c:spPr>
          <c:marker>
            <c:symbol val="circle"/>
            <c:size val="5"/>
            <c:spPr>
              <a:solidFill>
                <a:srgbClr val="A3B4BC"/>
              </a:solidFill>
              <a:ln w="28575">
                <a:solidFill>
                  <a:srgbClr val="A3B4BC"/>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ny'!$I$5:$I$14</c:f>
              <c:numCache>
                <c:formatCode>#\ ##0.0</c:formatCode>
                <c:ptCount val="10"/>
                <c:pt idx="0">
                  <c:v>211.51662199999998</c:v>
                </c:pt>
                <c:pt idx="1">
                  <c:v>185.11830299999997</c:v>
                </c:pt>
                <c:pt idx="2">
                  <c:v>193.45746800000001</c:v>
                </c:pt>
                <c:pt idx="3">
                  <c:v>184.39163499999998</c:v>
                </c:pt>
                <c:pt idx="4">
                  <c:v>199.16995700000001</c:v>
                </c:pt>
                <c:pt idx="5">
                  <c:v>204.01829199999997</c:v>
                </c:pt>
                <c:pt idx="6">
                  <c:v>198.13495799999998</c:v>
                </c:pt>
                <c:pt idx="7">
                  <c:v>197.66828899999996</c:v>
                </c:pt>
                <c:pt idx="8">
                  <c:v>164.038297</c:v>
                </c:pt>
                <c:pt idx="9">
                  <c:v>153.91579199999998</c:v>
                </c:pt>
              </c:numCache>
            </c:numRef>
          </c:val>
          <c:smooth val="0"/>
          <c:extLst>
            <c:ext xmlns:c16="http://schemas.microsoft.com/office/drawing/2014/chart" uri="{C3380CC4-5D6E-409C-BE32-E72D297353CC}">
              <c16:uniqueId val="{00000001-5DAC-4FC5-8EA5-71B33C9C60B6}"/>
            </c:ext>
          </c:extLst>
        </c:ser>
        <c:ser>
          <c:idx val="2"/>
          <c:order val="2"/>
          <c:tx>
            <c:strRef>
              <c:f>'diagram ny'!$J$4</c:f>
              <c:strCache>
                <c:ptCount val="1"/>
                <c:pt idx="0">
                  <c:v>Næringsliv</c:v>
                </c:pt>
              </c:strCache>
            </c:strRef>
          </c:tx>
          <c:spPr>
            <a:ln w="28575" cap="rnd" cmpd="sng" algn="ctr">
              <a:solidFill>
                <a:srgbClr val="01BDE2"/>
              </a:solidFill>
              <a:prstDash val="solid"/>
              <a:round/>
              <a:headEnd type="none" w="med" len="med"/>
              <a:tailEnd type="none" w="med" len="med"/>
            </a:ln>
            <a:effectLst/>
          </c:spPr>
          <c:marker>
            <c:symbol val="circle"/>
            <c:size val="5"/>
            <c:spPr>
              <a:solidFill>
                <a:srgbClr val="01BDE2"/>
              </a:solidFill>
              <a:ln w="28575">
                <a:solidFill>
                  <a:srgbClr val="01BDE2"/>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ny'!$J$5:$J$14</c:f>
              <c:numCache>
                <c:formatCode>#\ ##0.0</c:formatCode>
                <c:ptCount val="10"/>
                <c:pt idx="0">
                  <c:v>26.885826999999999</c:v>
                </c:pt>
                <c:pt idx="1">
                  <c:v>26.727492999999996</c:v>
                </c:pt>
                <c:pt idx="2">
                  <c:v>37.280828</c:v>
                </c:pt>
                <c:pt idx="3">
                  <c:v>33.422494999999998</c:v>
                </c:pt>
                <c:pt idx="4">
                  <c:v>25.799993999999998</c:v>
                </c:pt>
                <c:pt idx="5">
                  <c:v>26.191660000000002</c:v>
                </c:pt>
                <c:pt idx="6">
                  <c:v>24.864162</c:v>
                </c:pt>
                <c:pt idx="7">
                  <c:v>24.618327000000001</c:v>
                </c:pt>
                <c:pt idx="8">
                  <c:v>19.561661999999998</c:v>
                </c:pt>
                <c:pt idx="9">
                  <c:v>25.202492999999997</c:v>
                </c:pt>
              </c:numCache>
            </c:numRef>
          </c:val>
          <c:smooth val="0"/>
          <c:extLst>
            <c:ext xmlns:c16="http://schemas.microsoft.com/office/drawing/2014/chart" uri="{C3380CC4-5D6E-409C-BE32-E72D297353CC}">
              <c16:uniqueId val="{00000002-5DAC-4FC5-8EA5-71B33C9C60B6}"/>
            </c:ext>
          </c:extLst>
        </c:ser>
        <c:ser>
          <c:idx val="3"/>
          <c:order val="3"/>
          <c:tx>
            <c:strRef>
              <c:f>'diagram ny'!$K$4</c:f>
              <c:strCache>
                <c:ptCount val="1"/>
                <c:pt idx="0">
                  <c:v>Helseforetak</c:v>
                </c:pt>
              </c:strCache>
            </c:strRef>
          </c:tx>
          <c:spPr>
            <a:ln w="28575" cap="rnd" cmpd="sng" algn="ctr">
              <a:solidFill>
                <a:srgbClr val="FF7C00"/>
              </a:solidFill>
              <a:prstDash val="solid"/>
              <a:round/>
              <a:headEnd type="none" w="med" len="med"/>
              <a:tailEnd type="none" w="med" len="med"/>
            </a:ln>
            <a:effectLst/>
          </c:spPr>
          <c:marker>
            <c:symbol val="circle"/>
            <c:size val="5"/>
            <c:spPr>
              <a:solidFill>
                <a:srgbClr val="FF7C00"/>
              </a:solidFill>
              <a:ln w="28575">
                <a:solidFill>
                  <a:srgbClr val="FF7C00"/>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ny'!$K$5:$K$14</c:f>
              <c:numCache>
                <c:formatCode>#\ ##0.0</c:formatCode>
                <c:ptCount val="10"/>
                <c:pt idx="0">
                  <c:v>46.290825999999996</c:v>
                </c:pt>
                <c:pt idx="1">
                  <c:v>46.219155999999998</c:v>
                </c:pt>
                <c:pt idx="2">
                  <c:v>53.096656999999993</c:v>
                </c:pt>
                <c:pt idx="3">
                  <c:v>49.710819999999998</c:v>
                </c:pt>
                <c:pt idx="4">
                  <c:v>53.112493000000001</c:v>
                </c:pt>
                <c:pt idx="5">
                  <c:v>50.512488000000005</c:v>
                </c:pt>
                <c:pt idx="6">
                  <c:v>45.258322</c:v>
                </c:pt>
                <c:pt idx="7">
                  <c:v>52.816658000000004</c:v>
                </c:pt>
                <c:pt idx="8">
                  <c:v>49.974990999999996</c:v>
                </c:pt>
                <c:pt idx="9">
                  <c:v>59.924154999999999</c:v>
                </c:pt>
              </c:numCache>
            </c:numRef>
          </c:val>
          <c:smooth val="0"/>
          <c:extLst>
            <c:ext xmlns:c16="http://schemas.microsoft.com/office/drawing/2014/chart" uri="{C3380CC4-5D6E-409C-BE32-E72D297353CC}">
              <c16:uniqueId val="{00000003-5DAC-4FC5-8EA5-71B33C9C60B6}"/>
            </c:ext>
          </c:extLst>
        </c:ser>
        <c:ser>
          <c:idx val="4"/>
          <c:order val="4"/>
          <c:tx>
            <c:strRef>
              <c:f>'diagram ny'!$L$4</c:f>
              <c:strCache>
                <c:ptCount val="1"/>
                <c:pt idx="0">
                  <c:v>Offentlig sektor</c:v>
                </c:pt>
              </c:strCache>
            </c:strRef>
          </c:tx>
          <c:spPr>
            <a:ln w="28575" cap="rnd" cmpd="sng" algn="ctr">
              <a:solidFill>
                <a:srgbClr val="E03600"/>
              </a:solidFill>
              <a:prstDash val="solid"/>
              <a:round/>
              <a:headEnd type="none" w="med" len="med"/>
              <a:tailEnd type="none" w="med" len="med"/>
            </a:ln>
            <a:effectLst/>
          </c:spPr>
          <c:marker>
            <c:symbol val="circle"/>
            <c:size val="5"/>
            <c:spPr>
              <a:solidFill>
                <a:srgbClr val="E03600"/>
              </a:solidFill>
              <a:ln w="28575">
                <a:solidFill>
                  <a:srgbClr val="E03600"/>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ny'!$L$5:$L$14</c:f>
              <c:numCache>
                <c:formatCode>General</c:formatCode>
                <c:ptCount val="10"/>
                <c:pt idx="5" formatCode="#\ ##0.0">
                  <c:v>0.98666600000000004</c:v>
                </c:pt>
                <c:pt idx="6" formatCode="#\ ##0.0">
                  <c:v>2.25</c:v>
                </c:pt>
                <c:pt idx="7" formatCode="#\ ##0.0">
                  <c:v>0.74333300000000002</c:v>
                </c:pt>
                <c:pt idx="8" formatCode="#\ ##0.0">
                  <c:v>0.99666599999999994</c:v>
                </c:pt>
                <c:pt idx="9" formatCode="#\ ##0.0">
                  <c:v>4.0833319999999995</c:v>
                </c:pt>
              </c:numCache>
            </c:numRef>
          </c:val>
          <c:smooth val="0"/>
          <c:extLst>
            <c:ext xmlns:c16="http://schemas.microsoft.com/office/drawing/2014/chart" uri="{C3380CC4-5D6E-409C-BE32-E72D297353CC}">
              <c16:uniqueId val="{00000004-5DAC-4FC5-8EA5-71B33C9C60B6}"/>
            </c:ext>
          </c:extLst>
        </c:ser>
        <c:ser>
          <c:idx val="5"/>
          <c:order val="5"/>
          <c:tx>
            <c:strRef>
              <c:f>'diagram ny'!$M$4</c:f>
              <c:strCache>
                <c:ptCount val="1"/>
                <c:pt idx="0">
                  <c:v>Øvrige</c:v>
                </c:pt>
              </c:strCache>
            </c:strRef>
          </c:tx>
          <c:spPr>
            <a:ln w="28575" cap="rnd" cmpd="sng" algn="ctr">
              <a:solidFill>
                <a:srgbClr val="00C361"/>
              </a:solidFill>
              <a:prstDash val="solid"/>
              <a:round/>
              <a:headEnd type="none" w="med" len="med"/>
              <a:tailEnd type="none" w="med" len="med"/>
            </a:ln>
            <a:effectLst/>
          </c:spPr>
          <c:marker>
            <c:symbol val="circle"/>
            <c:size val="5"/>
            <c:spPr>
              <a:solidFill>
                <a:srgbClr val="00C361"/>
              </a:solidFill>
              <a:ln w="28575">
                <a:solidFill>
                  <a:srgbClr val="00C361"/>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ny'!$M$5:$M$14</c:f>
              <c:numCache>
                <c:formatCode>#\ ##0.0</c:formatCode>
                <c:ptCount val="10"/>
                <c:pt idx="0">
                  <c:v>0.74</c:v>
                </c:pt>
                <c:pt idx="1">
                  <c:v>0.33333299999999999</c:v>
                </c:pt>
                <c:pt idx="2">
                  <c:v>1.7458320000000001</c:v>
                </c:pt>
                <c:pt idx="3">
                  <c:v>1.666666</c:v>
                </c:pt>
                <c:pt idx="4">
                  <c:v>1.4999990000000001</c:v>
                </c:pt>
                <c:pt idx="5">
                  <c:v>0.83</c:v>
                </c:pt>
                <c:pt idx="6">
                  <c:v>1.5</c:v>
                </c:pt>
                <c:pt idx="7">
                  <c:v>1.58</c:v>
                </c:pt>
                <c:pt idx="8">
                  <c:v>0.5</c:v>
                </c:pt>
              </c:numCache>
            </c:numRef>
          </c:val>
          <c:smooth val="0"/>
          <c:extLst>
            <c:ext xmlns:c16="http://schemas.microsoft.com/office/drawing/2014/chart" uri="{C3380CC4-5D6E-409C-BE32-E72D297353CC}">
              <c16:uniqueId val="{00000005-5DAC-4FC5-8EA5-71B33C9C60B6}"/>
            </c:ext>
          </c:extLst>
        </c:ser>
        <c:dLbls>
          <c:showLegendKey val="0"/>
          <c:showVal val="0"/>
          <c:showCatName val="0"/>
          <c:showSerName val="0"/>
          <c:showPercent val="0"/>
          <c:showBubbleSize val="0"/>
        </c:dLbls>
        <c:marker val="1"/>
        <c:smooth val="0"/>
        <c:axId val="1289941295"/>
        <c:axId val="1289938383"/>
      </c:lineChart>
      <c:catAx>
        <c:axId val="128994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1289938383"/>
        <c:crosses val="autoZero"/>
        <c:auto val="1"/>
        <c:lblAlgn val="ctr"/>
        <c:lblOffset val="100"/>
        <c:noMultiLvlLbl val="0"/>
      </c:catAx>
      <c:valAx>
        <c:axId val="1289938383"/>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128994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'Diagram slått sammen'!$B$1</c:f>
              <c:strCache>
                <c:ptCount val="1"/>
                <c:pt idx="0">
                  <c:v>SFF/SFI/FME</c:v>
                </c:pt>
              </c:strCache>
            </c:strRef>
          </c:tx>
          <c:spPr>
            <a:ln w="28575" cap="rnd" cmpd="sng" algn="ctr">
              <a:solidFill>
                <a:srgbClr val="00338E"/>
              </a:solidFill>
              <a:prstDash val="solid"/>
              <a:round/>
              <a:headEnd type="none" w="med" len="med"/>
              <a:tailEnd type="none" w="med" len="med"/>
            </a:ln>
            <a:effectLst/>
          </c:spPr>
          <c:marker>
            <c:symbol val="circle"/>
            <c:size val="5"/>
            <c:spPr>
              <a:solidFill>
                <a:srgbClr val="00338E"/>
              </a:solidFill>
              <a:ln w="28575">
                <a:solidFill>
                  <a:srgbClr val="00338E"/>
                </a:solidFill>
                <a:prstDash val="solid"/>
              </a:ln>
              <a:effectLst/>
            </c:spPr>
          </c:marker>
          <c:cat>
            <c:numRef>
              <c:f>'Diagram slått sammen'!$A$2:$A$11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slått sammen'!$B$2:$B$11</c:f>
              <c:numCache>
                <c:formatCode>#\ ##0.0</c:formatCode>
                <c:ptCount val="10"/>
                <c:pt idx="0">
                  <c:v>355.09912100000003</c:v>
                </c:pt>
                <c:pt idx="1">
                  <c:v>327.74994600000002</c:v>
                </c:pt>
                <c:pt idx="2">
                  <c:v>283.69996099999997</c:v>
                </c:pt>
                <c:pt idx="3">
                  <c:v>257.49578799999995</c:v>
                </c:pt>
                <c:pt idx="4">
                  <c:v>309.087446</c:v>
                </c:pt>
                <c:pt idx="5">
                  <c:v>346.87994100000003</c:v>
                </c:pt>
                <c:pt idx="6">
                  <c:v>383.55827699999998</c:v>
                </c:pt>
                <c:pt idx="7">
                  <c:v>367.48327200000006</c:v>
                </c:pt>
                <c:pt idx="8">
                  <c:v>338.307458</c:v>
                </c:pt>
                <c:pt idx="9">
                  <c:v>316.85743599999995</c:v>
                </c:pt>
              </c:numCache>
            </c:numRef>
          </c:val>
          <c:smooth val="0"/>
          <c:extLst>
            <c:ext xmlns:c16="http://schemas.microsoft.com/office/drawing/2014/chart" uri="{C3380CC4-5D6E-409C-BE32-E72D297353CC}">
              <c16:uniqueId val="{00000000-8164-48B4-9744-794D208AC7AE}"/>
            </c:ext>
          </c:extLst>
        </c:ser>
        <c:ser>
          <c:idx val="1"/>
          <c:order val="1"/>
          <c:tx>
            <c:strRef>
              <c:f>'Diagram slått sammen'!$C$1</c:f>
              <c:strCache>
                <c:ptCount val="1"/>
                <c:pt idx="0">
                  <c:v>Store programmer</c:v>
                </c:pt>
              </c:strCache>
            </c:strRef>
          </c:tx>
          <c:spPr>
            <a:ln w="28575" cap="rnd" cmpd="sng" algn="ctr">
              <a:solidFill>
                <a:srgbClr val="A3B4BC"/>
              </a:solidFill>
              <a:prstDash val="solid"/>
              <a:round/>
              <a:headEnd type="none" w="med" len="med"/>
              <a:tailEnd type="none" w="med" len="med"/>
            </a:ln>
            <a:effectLst/>
          </c:spPr>
          <c:marker>
            <c:symbol val="circle"/>
            <c:size val="5"/>
            <c:spPr>
              <a:solidFill>
                <a:srgbClr val="A3B4BC"/>
              </a:solidFill>
              <a:ln w="28575">
                <a:solidFill>
                  <a:srgbClr val="A3B4BC"/>
                </a:solidFill>
                <a:prstDash val="solid"/>
              </a:ln>
              <a:effectLst/>
            </c:spPr>
          </c:marker>
          <c:cat>
            <c:numRef>
              <c:f>'Diagram slått sammen'!$A$2:$A$11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slått sammen'!$C$2:$C$11</c:f>
              <c:numCache>
                <c:formatCode>#\ ##0.0</c:formatCode>
                <c:ptCount val="10"/>
                <c:pt idx="0">
                  <c:v>284.20161400000001</c:v>
                </c:pt>
                <c:pt idx="1">
                  <c:v>248.43747199999996</c:v>
                </c:pt>
                <c:pt idx="2">
                  <c:v>222.17578800000001</c:v>
                </c:pt>
                <c:pt idx="3">
                  <c:v>255.41328700000003</c:v>
                </c:pt>
                <c:pt idx="4">
                  <c:v>290.33161800000011</c:v>
                </c:pt>
                <c:pt idx="5">
                  <c:v>329.26161899999994</c:v>
                </c:pt>
                <c:pt idx="6">
                  <c:v>320.75745100000006</c:v>
                </c:pt>
                <c:pt idx="7">
                  <c:v>336.11494999999991</c:v>
                </c:pt>
                <c:pt idx="8">
                  <c:v>335.53910899999994</c:v>
                </c:pt>
                <c:pt idx="9">
                  <c:v>376.90659800000003</c:v>
                </c:pt>
              </c:numCache>
            </c:numRef>
          </c:val>
          <c:smooth val="0"/>
          <c:extLst>
            <c:ext xmlns:c16="http://schemas.microsoft.com/office/drawing/2014/chart" uri="{C3380CC4-5D6E-409C-BE32-E72D297353CC}">
              <c16:uniqueId val="{00000001-8164-48B4-9744-794D208AC7AE}"/>
            </c:ext>
          </c:extLst>
        </c:ser>
        <c:ser>
          <c:idx val="2"/>
          <c:order val="2"/>
          <c:tx>
            <c:strRef>
              <c:f>'Diagram slått sammen'!$D$1</c:f>
              <c:strCache>
                <c:ptCount val="1"/>
                <c:pt idx="0">
                  <c:v>Fri prosjektstøtte</c:v>
                </c:pt>
              </c:strCache>
            </c:strRef>
          </c:tx>
          <c:spPr>
            <a:ln w="28575" cap="rnd" cmpd="sng" algn="ctr">
              <a:solidFill>
                <a:srgbClr val="01BDE2"/>
              </a:solidFill>
              <a:prstDash val="solid"/>
              <a:round/>
              <a:headEnd type="none" w="med" len="med"/>
              <a:tailEnd type="none" w="med" len="med"/>
            </a:ln>
            <a:effectLst/>
          </c:spPr>
          <c:marker>
            <c:symbol val="circle"/>
            <c:size val="5"/>
            <c:spPr>
              <a:solidFill>
                <a:srgbClr val="01BDE2"/>
              </a:solidFill>
              <a:ln w="28575">
                <a:solidFill>
                  <a:srgbClr val="01BDE2"/>
                </a:solidFill>
                <a:prstDash val="solid"/>
              </a:ln>
              <a:effectLst/>
            </c:spPr>
          </c:marker>
          <c:cat>
            <c:numRef>
              <c:f>'Diagram slått sammen'!$A$2:$A$11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slått sammen'!$D$2:$D$11</c:f>
              <c:numCache>
                <c:formatCode>#\ ##0.0</c:formatCode>
                <c:ptCount val="10"/>
                <c:pt idx="0">
                  <c:v>179.65329400000002</c:v>
                </c:pt>
                <c:pt idx="1">
                  <c:v>203.51246499999996</c:v>
                </c:pt>
                <c:pt idx="2">
                  <c:v>202.26745699999998</c:v>
                </c:pt>
                <c:pt idx="3">
                  <c:v>228.42495499999998</c:v>
                </c:pt>
                <c:pt idx="4">
                  <c:v>240.14328199999997</c:v>
                </c:pt>
                <c:pt idx="5">
                  <c:v>267.25910499999998</c:v>
                </c:pt>
                <c:pt idx="6">
                  <c:v>283.26077699999996</c:v>
                </c:pt>
                <c:pt idx="7">
                  <c:v>286.17828199999997</c:v>
                </c:pt>
                <c:pt idx="8">
                  <c:v>267.65912199999997</c:v>
                </c:pt>
                <c:pt idx="9">
                  <c:v>245.76662099999999</c:v>
                </c:pt>
              </c:numCache>
            </c:numRef>
          </c:val>
          <c:smooth val="0"/>
          <c:extLst>
            <c:ext xmlns:c16="http://schemas.microsoft.com/office/drawing/2014/chart" uri="{C3380CC4-5D6E-409C-BE32-E72D297353CC}">
              <c16:uniqueId val="{00000002-8164-48B4-9744-794D208AC7AE}"/>
            </c:ext>
          </c:extLst>
        </c:ser>
        <c:ser>
          <c:idx val="3"/>
          <c:order val="3"/>
          <c:tx>
            <c:strRef>
              <c:f>'Diagram slått sammen'!$E$1</c:f>
              <c:strCache>
                <c:ptCount val="1"/>
                <c:pt idx="0">
                  <c:v>Handlingsrettede programmer</c:v>
                </c:pt>
              </c:strCache>
            </c:strRef>
          </c:tx>
          <c:spPr>
            <a:ln w="28575" cap="rnd" cmpd="sng" algn="ctr">
              <a:solidFill>
                <a:srgbClr val="FF7C00"/>
              </a:solidFill>
              <a:prstDash val="solid"/>
              <a:round/>
              <a:headEnd type="none" w="med" len="med"/>
              <a:tailEnd type="none" w="med" len="med"/>
            </a:ln>
            <a:effectLst/>
          </c:spPr>
          <c:marker>
            <c:symbol val="circle"/>
            <c:size val="5"/>
            <c:spPr>
              <a:solidFill>
                <a:srgbClr val="FF7C00"/>
              </a:solidFill>
              <a:ln w="28575">
                <a:solidFill>
                  <a:srgbClr val="FF7C00"/>
                </a:solidFill>
                <a:prstDash val="solid"/>
              </a:ln>
              <a:effectLst/>
            </c:spPr>
          </c:marker>
          <c:cat>
            <c:numRef>
              <c:f>'Diagram slått sammen'!$A$2:$A$11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slått sammen'!$E$2:$E$11</c:f>
              <c:numCache>
                <c:formatCode>#\ ##0.0</c:formatCode>
                <c:ptCount val="10"/>
                <c:pt idx="0">
                  <c:v>190.20830299999997</c:v>
                </c:pt>
                <c:pt idx="1">
                  <c:v>165.58330099999995</c:v>
                </c:pt>
                <c:pt idx="2">
                  <c:v>183.34247199999999</c:v>
                </c:pt>
                <c:pt idx="3">
                  <c:v>194.09414899999996</c:v>
                </c:pt>
                <c:pt idx="4">
                  <c:v>187.23664199999993</c:v>
                </c:pt>
                <c:pt idx="5">
                  <c:v>162.54413899999997</c:v>
                </c:pt>
                <c:pt idx="6">
                  <c:v>165.00412599999993</c:v>
                </c:pt>
                <c:pt idx="7">
                  <c:v>183.25247199999995</c:v>
                </c:pt>
                <c:pt idx="8">
                  <c:v>201.68330599999996</c:v>
                </c:pt>
                <c:pt idx="9">
                  <c:v>231.11747399999999</c:v>
                </c:pt>
              </c:numCache>
            </c:numRef>
          </c:val>
          <c:smooth val="0"/>
          <c:extLst>
            <c:ext xmlns:c16="http://schemas.microsoft.com/office/drawing/2014/chart" uri="{C3380CC4-5D6E-409C-BE32-E72D297353CC}">
              <c16:uniqueId val="{00000003-8164-48B4-9744-794D208AC7AE}"/>
            </c:ext>
          </c:extLst>
        </c:ser>
        <c:ser>
          <c:idx val="4"/>
          <c:order val="4"/>
          <c:tx>
            <c:strRef>
              <c:f>'Diagram slått sammen'!$F$1</c:f>
              <c:strCache>
                <c:ptCount val="1"/>
                <c:pt idx="0">
                  <c:v>Brukerstyrte innovasjonsprogrammer</c:v>
                </c:pt>
              </c:strCache>
            </c:strRef>
          </c:tx>
          <c:spPr>
            <a:ln w="28575" cap="rnd" cmpd="sng" algn="ctr">
              <a:solidFill>
                <a:srgbClr val="E03600"/>
              </a:solidFill>
              <a:prstDash val="solid"/>
              <a:round/>
              <a:headEnd type="none" w="med" len="med"/>
              <a:tailEnd type="none" w="med" len="med"/>
            </a:ln>
            <a:effectLst/>
          </c:spPr>
          <c:marker>
            <c:symbol val="circle"/>
            <c:size val="5"/>
            <c:spPr>
              <a:solidFill>
                <a:srgbClr val="E03600"/>
              </a:solidFill>
              <a:ln w="28575">
                <a:solidFill>
                  <a:srgbClr val="E03600"/>
                </a:solidFill>
                <a:prstDash val="solid"/>
              </a:ln>
              <a:effectLst/>
            </c:spPr>
          </c:marker>
          <c:cat>
            <c:numRef>
              <c:f>'Diagram slått sammen'!$A$2:$A$11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slått sammen'!$F$2:$F$11</c:f>
              <c:numCache>
                <c:formatCode>#\ ##0.0</c:formatCode>
                <c:ptCount val="10"/>
                <c:pt idx="0">
                  <c:v>171.50498400000001</c:v>
                </c:pt>
                <c:pt idx="1">
                  <c:v>136.81414400000003</c:v>
                </c:pt>
                <c:pt idx="2">
                  <c:v>131.56998300000001</c:v>
                </c:pt>
                <c:pt idx="3">
                  <c:v>147.33747700000001</c:v>
                </c:pt>
                <c:pt idx="4">
                  <c:v>158.85497700000002</c:v>
                </c:pt>
                <c:pt idx="5">
                  <c:v>144.34831700000001</c:v>
                </c:pt>
                <c:pt idx="6">
                  <c:v>129.37248099999999</c:v>
                </c:pt>
                <c:pt idx="7">
                  <c:v>109.62748299999998</c:v>
                </c:pt>
                <c:pt idx="8">
                  <c:v>110.26665199999999</c:v>
                </c:pt>
                <c:pt idx="9">
                  <c:v>199.569141</c:v>
                </c:pt>
              </c:numCache>
            </c:numRef>
          </c:val>
          <c:smooth val="0"/>
          <c:extLst>
            <c:ext xmlns:c16="http://schemas.microsoft.com/office/drawing/2014/chart" uri="{C3380CC4-5D6E-409C-BE32-E72D297353CC}">
              <c16:uniqueId val="{00000004-8164-48B4-9744-794D208AC7AE}"/>
            </c:ext>
          </c:extLst>
        </c:ser>
        <c:ser>
          <c:idx val="5"/>
          <c:order val="5"/>
          <c:tx>
            <c:strRef>
              <c:f>'Diagram slått sammen'!$G$1</c:f>
              <c:strCache>
                <c:ptCount val="1"/>
                <c:pt idx="0">
                  <c:v>Andre frittstående prosjekter</c:v>
                </c:pt>
              </c:strCache>
            </c:strRef>
          </c:tx>
          <c:spPr>
            <a:ln w="28575" cap="rnd" cmpd="sng" algn="ctr">
              <a:solidFill>
                <a:srgbClr val="00C361"/>
              </a:solidFill>
              <a:prstDash val="solid"/>
              <a:round/>
              <a:headEnd type="none" w="med" len="med"/>
              <a:tailEnd type="none" w="med" len="med"/>
            </a:ln>
            <a:effectLst/>
          </c:spPr>
          <c:marker>
            <c:symbol val="circle"/>
            <c:size val="5"/>
            <c:spPr>
              <a:solidFill>
                <a:srgbClr val="00C361"/>
              </a:solidFill>
              <a:ln w="28575">
                <a:solidFill>
                  <a:srgbClr val="00C361"/>
                </a:solidFill>
                <a:prstDash val="solid"/>
              </a:ln>
              <a:effectLst/>
            </c:spPr>
          </c:marker>
          <c:cat>
            <c:numRef>
              <c:f>'Diagram slått sammen'!$A$2:$A$11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slått sammen'!$G$2:$G$11</c:f>
              <c:numCache>
                <c:formatCode>#\ ##0.0</c:formatCode>
                <c:ptCount val="10"/>
                <c:pt idx="0">
                  <c:v>107.38915499999999</c:v>
                </c:pt>
                <c:pt idx="1">
                  <c:v>118.97082100000002</c:v>
                </c:pt>
                <c:pt idx="2">
                  <c:v>121.09914499999996</c:v>
                </c:pt>
                <c:pt idx="3">
                  <c:v>140.64164599999998</c:v>
                </c:pt>
                <c:pt idx="4">
                  <c:v>163.714978</c:v>
                </c:pt>
                <c:pt idx="5">
                  <c:v>190.78914500000002</c:v>
                </c:pt>
                <c:pt idx="6">
                  <c:v>207.17247199999997</c:v>
                </c:pt>
                <c:pt idx="7">
                  <c:v>232.814142</c:v>
                </c:pt>
                <c:pt idx="8">
                  <c:v>243.70914299999998</c:v>
                </c:pt>
                <c:pt idx="9">
                  <c:v>184.15831699999995</c:v>
                </c:pt>
              </c:numCache>
            </c:numRef>
          </c:val>
          <c:smooth val="0"/>
          <c:extLst>
            <c:ext xmlns:c16="http://schemas.microsoft.com/office/drawing/2014/chart" uri="{C3380CC4-5D6E-409C-BE32-E72D297353CC}">
              <c16:uniqueId val="{00000005-8164-48B4-9744-794D208AC7AE}"/>
            </c:ext>
          </c:extLst>
        </c:ser>
        <c:ser>
          <c:idx val="6"/>
          <c:order val="6"/>
          <c:tx>
            <c:strRef>
              <c:f>'Diagram slått sammen'!$H$1</c:f>
              <c:strCache>
                <c:ptCount val="1"/>
                <c:pt idx="0">
                  <c:v>Øvrige</c:v>
                </c:pt>
              </c:strCache>
            </c:strRef>
          </c:tx>
          <c:spPr>
            <a:ln w="28575" cap="rnd" cmpd="sng" algn="ctr">
              <a:solidFill>
                <a:srgbClr val="1C4359"/>
              </a:solidFill>
              <a:prstDash val="solid"/>
              <a:round/>
              <a:headEnd type="none" w="med" len="med"/>
              <a:tailEnd type="none" w="med" len="med"/>
            </a:ln>
            <a:effectLst/>
          </c:spPr>
          <c:marker>
            <c:symbol val="circle"/>
            <c:size val="5"/>
            <c:spPr>
              <a:solidFill>
                <a:srgbClr val="1C4359"/>
              </a:solidFill>
              <a:ln w="28575">
                <a:solidFill>
                  <a:srgbClr val="1C4359"/>
                </a:solidFill>
                <a:prstDash val="solid"/>
              </a:ln>
              <a:effectLst/>
            </c:spPr>
          </c:marker>
          <c:cat>
            <c:numRef>
              <c:f>'Diagram slått sammen'!$A$2:$A$11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slått sammen'!$H$2:$H$11</c:f>
              <c:numCache>
                <c:formatCode>#\ ##0.0</c:formatCode>
                <c:ptCount val="10"/>
                <c:pt idx="0">
                  <c:v>212.19997699999999</c:v>
                </c:pt>
                <c:pt idx="1">
                  <c:v>192.715799</c:v>
                </c:pt>
                <c:pt idx="2">
                  <c:v>174.76581199999998</c:v>
                </c:pt>
                <c:pt idx="3">
                  <c:v>157.48164</c:v>
                </c:pt>
                <c:pt idx="4">
                  <c:v>154.64830899999998</c:v>
                </c:pt>
                <c:pt idx="5">
                  <c:v>156.07164399999999</c:v>
                </c:pt>
                <c:pt idx="6">
                  <c:v>157.54913999999999</c:v>
                </c:pt>
                <c:pt idx="7">
                  <c:v>155.563311</c:v>
                </c:pt>
                <c:pt idx="8">
                  <c:v>121.518317</c:v>
                </c:pt>
                <c:pt idx="9">
                  <c:v>132.363316</c:v>
                </c:pt>
              </c:numCache>
            </c:numRef>
          </c:val>
          <c:smooth val="0"/>
          <c:extLst>
            <c:ext xmlns:c16="http://schemas.microsoft.com/office/drawing/2014/chart" uri="{C3380CC4-5D6E-409C-BE32-E72D297353CC}">
              <c16:uniqueId val="{00000006-8164-48B4-9744-794D208AC7AE}"/>
            </c:ext>
          </c:extLst>
        </c:ser>
        <c:dLbls>
          <c:showLegendKey val="0"/>
          <c:showVal val="0"/>
          <c:showCatName val="0"/>
          <c:showSerName val="0"/>
          <c:showPercent val="0"/>
          <c:showBubbleSize val="0"/>
        </c:dLbls>
        <c:marker val="1"/>
        <c:smooth val="0"/>
        <c:axId val="1545824880"/>
        <c:axId val="1545817392"/>
      </c:lineChart>
      <c:catAx>
        <c:axId val="154582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1545817392"/>
        <c:crosses val="autoZero"/>
        <c:auto val="1"/>
        <c:lblAlgn val="ctr"/>
        <c:lblOffset val="100"/>
        <c:noMultiLvlLbl val="0"/>
      </c:catAx>
      <c:valAx>
        <c:axId val="1545817392"/>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154582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'diagram ny'!$H$4</c:f>
              <c:strCache>
                <c:ptCount val="1"/>
                <c:pt idx="0">
                  <c:v>UoH-sektor</c:v>
                </c:pt>
              </c:strCache>
            </c:strRef>
          </c:tx>
          <c:spPr>
            <a:ln w="28575" cap="rnd" cmpd="sng" algn="ctr">
              <a:solidFill>
                <a:srgbClr val="00338E"/>
              </a:solidFill>
              <a:prstDash val="solid"/>
              <a:round/>
              <a:headEnd type="none" w="med" len="med"/>
              <a:tailEnd type="none" w="med" len="med"/>
            </a:ln>
            <a:effectLst/>
          </c:spPr>
          <c:marker>
            <c:symbol val="circle"/>
            <c:size val="5"/>
            <c:spPr>
              <a:solidFill>
                <a:srgbClr val="00338E"/>
              </a:solidFill>
              <a:ln w="28575">
                <a:solidFill>
                  <a:srgbClr val="00338E"/>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ny'!$H$5:$H$14</c:f>
              <c:numCache>
                <c:formatCode>#\ ##0.0</c:formatCode>
                <c:ptCount val="10"/>
                <c:pt idx="0">
                  <c:v>811.52570500000002</c:v>
                </c:pt>
                <c:pt idx="1">
                  <c:v>774.96069399999988</c:v>
                </c:pt>
                <c:pt idx="2">
                  <c:v>791.13821199999995</c:v>
                </c:pt>
                <c:pt idx="3">
                  <c:v>829.94068599999991</c:v>
                </c:pt>
                <c:pt idx="4">
                  <c:v>926.19650899999999</c:v>
                </c:pt>
                <c:pt idx="5">
                  <c:v>979.09983099999999</c:v>
                </c:pt>
                <c:pt idx="6">
                  <c:v>992.55899600000021</c:v>
                </c:pt>
                <c:pt idx="7">
                  <c:v>994.66484500000001</c:v>
                </c:pt>
                <c:pt idx="8">
                  <c:v>966.86234999999988</c:v>
                </c:pt>
                <c:pt idx="9">
                  <c:v>1006.8289959999997</c:v>
                </c:pt>
              </c:numCache>
            </c:numRef>
          </c:val>
          <c:smooth val="0"/>
          <c:extLst>
            <c:ext xmlns:c16="http://schemas.microsoft.com/office/drawing/2014/chart" uri="{C3380CC4-5D6E-409C-BE32-E72D297353CC}">
              <c16:uniqueId val="{00000000-747C-4F4C-AB55-7563F5EB9CD0}"/>
            </c:ext>
          </c:extLst>
        </c:ser>
        <c:ser>
          <c:idx val="1"/>
          <c:order val="1"/>
          <c:tx>
            <c:strRef>
              <c:f>'diagram ny'!$I$4</c:f>
              <c:strCache>
                <c:ptCount val="1"/>
                <c:pt idx="0">
                  <c:v>Instituttsektor</c:v>
                </c:pt>
              </c:strCache>
            </c:strRef>
          </c:tx>
          <c:spPr>
            <a:ln w="28575" cap="rnd" cmpd="sng" algn="ctr">
              <a:solidFill>
                <a:srgbClr val="A3B4BC"/>
              </a:solidFill>
              <a:prstDash val="solid"/>
              <a:round/>
              <a:headEnd type="none" w="med" len="med"/>
              <a:tailEnd type="none" w="med" len="med"/>
            </a:ln>
            <a:effectLst/>
          </c:spPr>
          <c:marker>
            <c:symbol val="circle"/>
            <c:size val="5"/>
            <c:spPr>
              <a:solidFill>
                <a:srgbClr val="A3B4BC"/>
              </a:solidFill>
              <a:ln w="28575">
                <a:solidFill>
                  <a:srgbClr val="A3B4BC"/>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ny'!$I$5:$I$14</c:f>
              <c:numCache>
                <c:formatCode>#\ ##0.0</c:formatCode>
                <c:ptCount val="10"/>
                <c:pt idx="0">
                  <c:v>430.68411499999996</c:v>
                </c:pt>
                <c:pt idx="1">
                  <c:v>367.32161899999994</c:v>
                </c:pt>
                <c:pt idx="2">
                  <c:v>273.83578</c:v>
                </c:pt>
                <c:pt idx="3">
                  <c:v>270.37579299999993</c:v>
                </c:pt>
                <c:pt idx="4">
                  <c:v>291.10078499999997</c:v>
                </c:pt>
                <c:pt idx="5">
                  <c:v>320.39161899999999</c:v>
                </c:pt>
                <c:pt idx="6">
                  <c:v>348.85910599999988</c:v>
                </c:pt>
                <c:pt idx="7">
                  <c:v>337.74828199999996</c:v>
                </c:pt>
                <c:pt idx="8">
                  <c:v>337.91661199999999</c:v>
                </c:pt>
                <c:pt idx="9">
                  <c:v>362.55910999999992</c:v>
                </c:pt>
              </c:numCache>
            </c:numRef>
          </c:val>
          <c:smooth val="0"/>
          <c:extLst>
            <c:ext xmlns:c16="http://schemas.microsoft.com/office/drawing/2014/chart" uri="{C3380CC4-5D6E-409C-BE32-E72D297353CC}">
              <c16:uniqueId val="{00000001-747C-4F4C-AB55-7563F5EB9CD0}"/>
            </c:ext>
          </c:extLst>
        </c:ser>
        <c:ser>
          <c:idx val="2"/>
          <c:order val="2"/>
          <c:tx>
            <c:strRef>
              <c:f>'diagram ny'!$J$4</c:f>
              <c:strCache>
                <c:ptCount val="1"/>
                <c:pt idx="0">
                  <c:v>Næringsliv</c:v>
                </c:pt>
              </c:strCache>
            </c:strRef>
          </c:tx>
          <c:spPr>
            <a:ln w="28575" cap="rnd" cmpd="sng" algn="ctr">
              <a:solidFill>
                <a:srgbClr val="01BDE2"/>
              </a:solidFill>
              <a:prstDash val="solid"/>
              <a:round/>
              <a:headEnd type="none" w="med" len="med"/>
              <a:tailEnd type="none" w="med" len="med"/>
            </a:ln>
            <a:effectLst/>
          </c:spPr>
          <c:marker>
            <c:symbol val="circle"/>
            <c:size val="5"/>
            <c:spPr>
              <a:solidFill>
                <a:srgbClr val="01BDE2"/>
              </a:solidFill>
              <a:ln w="28575">
                <a:solidFill>
                  <a:srgbClr val="01BDE2"/>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ny'!$J$5:$J$14</c:f>
              <c:numCache>
                <c:formatCode>#\ ##0.0</c:formatCode>
                <c:ptCount val="10"/>
                <c:pt idx="0">
                  <c:v>188.57747499999999</c:v>
                </c:pt>
                <c:pt idx="1">
                  <c:v>188.23331200000001</c:v>
                </c:pt>
                <c:pt idx="2">
                  <c:v>189.301638</c:v>
                </c:pt>
                <c:pt idx="3">
                  <c:v>195.49081199999998</c:v>
                </c:pt>
                <c:pt idx="4">
                  <c:v>194.74580699999999</c:v>
                </c:pt>
                <c:pt idx="5">
                  <c:v>187.93498</c:v>
                </c:pt>
                <c:pt idx="6">
                  <c:v>173.57580899999996</c:v>
                </c:pt>
                <c:pt idx="7">
                  <c:v>175.89081200000001</c:v>
                </c:pt>
                <c:pt idx="8">
                  <c:v>186.824138</c:v>
                </c:pt>
                <c:pt idx="9">
                  <c:v>209.50164599999999</c:v>
                </c:pt>
              </c:numCache>
            </c:numRef>
          </c:val>
          <c:smooth val="0"/>
          <c:extLst>
            <c:ext xmlns:c16="http://schemas.microsoft.com/office/drawing/2014/chart" uri="{C3380CC4-5D6E-409C-BE32-E72D297353CC}">
              <c16:uniqueId val="{00000002-747C-4F4C-AB55-7563F5EB9CD0}"/>
            </c:ext>
          </c:extLst>
        </c:ser>
        <c:ser>
          <c:idx val="3"/>
          <c:order val="3"/>
          <c:tx>
            <c:strRef>
              <c:f>'diagram ny'!$K$4</c:f>
              <c:strCache>
                <c:ptCount val="1"/>
                <c:pt idx="0">
                  <c:v>Helseforetak</c:v>
                </c:pt>
              </c:strCache>
            </c:strRef>
          </c:tx>
          <c:spPr>
            <a:ln w="28575" cap="rnd" cmpd="sng" algn="ctr">
              <a:solidFill>
                <a:srgbClr val="FF7C00"/>
              </a:solidFill>
              <a:prstDash val="solid"/>
              <a:round/>
              <a:headEnd type="none" w="med" len="med"/>
              <a:tailEnd type="none" w="med" len="med"/>
            </a:ln>
            <a:effectLst/>
          </c:spPr>
          <c:marker>
            <c:symbol val="circle"/>
            <c:size val="5"/>
            <c:spPr>
              <a:solidFill>
                <a:srgbClr val="FF7C00"/>
              </a:solidFill>
              <a:ln w="28575">
                <a:solidFill>
                  <a:srgbClr val="FF7C00"/>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ny'!$K$5:$K$14</c:f>
              <c:numCache>
                <c:formatCode>#\ ##0.0</c:formatCode>
                <c:ptCount val="10"/>
                <c:pt idx="0">
                  <c:v>51.245822999999987</c:v>
                </c:pt>
                <c:pt idx="1">
                  <c:v>46.618325999999996</c:v>
                </c:pt>
                <c:pt idx="2">
                  <c:v>46.687491999999992</c:v>
                </c:pt>
                <c:pt idx="3">
                  <c:v>54.858325000000001</c:v>
                </c:pt>
                <c:pt idx="4">
                  <c:v>50.584991000000002</c:v>
                </c:pt>
                <c:pt idx="5">
                  <c:v>59.519154999999998</c:v>
                </c:pt>
                <c:pt idx="6">
                  <c:v>59.254991000000004</c:v>
                </c:pt>
                <c:pt idx="7">
                  <c:v>72.572485</c:v>
                </c:pt>
                <c:pt idx="8">
                  <c:v>75.897492</c:v>
                </c:pt>
                <c:pt idx="9">
                  <c:v>77.504153000000002</c:v>
                </c:pt>
              </c:numCache>
            </c:numRef>
          </c:val>
          <c:smooth val="0"/>
          <c:extLst>
            <c:ext xmlns:c16="http://schemas.microsoft.com/office/drawing/2014/chart" uri="{C3380CC4-5D6E-409C-BE32-E72D297353CC}">
              <c16:uniqueId val="{00000003-747C-4F4C-AB55-7563F5EB9CD0}"/>
            </c:ext>
          </c:extLst>
        </c:ser>
        <c:ser>
          <c:idx val="4"/>
          <c:order val="4"/>
          <c:tx>
            <c:strRef>
              <c:f>'diagram ny'!$L$4</c:f>
              <c:strCache>
                <c:ptCount val="1"/>
                <c:pt idx="0">
                  <c:v>Offentlig sektor</c:v>
                </c:pt>
              </c:strCache>
            </c:strRef>
          </c:tx>
          <c:spPr>
            <a:ln w="28575" cap="rnd" cmpd="sng" algn="ctr">
              <a:solidFill>
                <a:srgbClr val="E03600"/>
              </a:solidFill>
              <a:prstDash val="solid"/>
              <a:round/>
              <a:headEnd type="none" w="med" len="med"/>
              <a:tailEnd type="none" w="med" len="med"/>
            </a:ln>
            <a:effectLst/>
          </c:spPr>
          <c:marker>
            <c:symbol val="circle"/>
            <c:size val="5"/>
            <c:spPr>
              <a:solidFill>
                <a:srgbClr val="E03600"/>
              </a:solidFill>
              <a:ln w="28575">
                <a:solidFill>
                  <a:srgbClr val="E03600"/>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ny'!$L$5:$L$14</c:f>
              <c:numCache>
                <c:formatCode>#\ ##0.0</c:formatCode>
                <c:ptCount val="10"/>
                <c:pt idx="0">
                  <c:v>1.659999</c:v>
                </c:pt>
                <c:pt idx="1">
                  <c:v>2.66</c:v>
                </c:pt>
                <c:pt idx="2">
                  <c:v>3.574999</c:v>
                </c:pt>
                <c:pt idx="3">
                  <c:v>14.409995</c:v>
                </c:pt>
                <c:pt idx="4">
                  <c:v>22.984995999999999</c:v>
                </c:pt>
                <c:pt idx="5">
                  <c:v>40.128326999999999</c:v>
                </c:pt>
                <c:pt idx="6">
                  <c:v>57.174159000000003</c:v>
                </c:pt>
                <c:pt idx="7">
                  <c:v>73.720825999999988</c:v>
                </c:pt>
                <c:pt idx="8">
                  <c:v>84.914155999999991</c:v>
                </c:pt>
                <c:pt idx="9">
                  <c:v>97.088322999999988</c:v>
                </c:pt>
              </c:numCache>
            </c:numRef>
          </c:val>
          <c:smooth val="0"/>
          <c:extLst>
            <c:ext xmlns:c16="http://schemas.microsoft.com/office/drawing/2014/chart" uri="{C3380CC4-5D6E-409C-BE32-E72D297353CC}">
              <c16:uniqueId val="{00000004-747C-4F4C-AB55-7563F5EB9CD0}"/>
            </c:ext>
          </c:extLst>
        </c:ser>
        <c:ser>
          <c:idx val="5"/>
          <c:order val="5"/>
          <c:tx>
            <c:strRef>
              <c:f>'diagram ny'!$M$4</c:f>
              <c:strCache>
                <c:ptCount val="1"/>
                <c:pt idx="0">
                  <c:v>Øvrige</c:v>
                </c:pt>
              </c:strCache>
            </c:strRef>
          </c:tx>
          <c:spPr>
            <a:ln w="28575" cap="rnd" cmpd="sng" algn="ctr">
              <a:solidFill>
                <a:srgbClr val="00C361"/>
              </a:solidFill>
              <a:prstDash val="solid"/>
              <a:round/>
              <a:headEnd type="none" w="med" len="med"/>
              <a:tailEnd type="none" w="med" len="med"/>
            </a:ln>
            <a:effectLst/>
          </c:spPr>
          <c:marker>
            <c:symbol val="circle"/>
            <c:size val="5"/>
            <c:spPr>
              <a:solidFill>
                <a:srgbClr val="00C361"/>
              </a:solidFill>
              <a:ln w="28575">
                <a:solidFill>
                  <a:srgbClr val="00C361"/>
                </a:solidFill>
                <a:prstDash val="solid"/>
              </a:ln>
              <a:effectLst/>
            </c:spPr>
          </c:marker>
          <c:cat>
            <c:numRef>
              <c:f>'diagram ny'!$G$5:$G$14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'diagram ny'!$M$5:$M$14</c:f>
              <c:numCache>
                <c:formatCode>#\ ##0.0</c:formatCode>
                <c:ptCount val="10"/>
                <c:pt idx="0">
                  <c:v>5.3266660000000003</c:v>
                </c:pt>
                <c:pt idx="1">
                  <c:v>4.66</c:v>
                </c:pt>
                <c:pt idx="2">
                  <c:v>3.8925000000000001</c:v>
                </c:pt>
                <c:pt idx="3">
                  <c:v>2.65</c:v>
                </c:pt>
                <c:pt idx="4">
                  <c:v>4.74</c:v>
                </c:pt>
                <c:pt idx="5">
                  <c:v>3.3316660000000002</c:v>
                </c:pt>
                <c:pt idx="6">
                  <c:v>7.3333329999999997</c:v>
                </c:pt>
                <c:pt idx="7">
                  <c:v>6.1616660000000003</c:v>
                </c:pt>
                <c:pt idx="8">
                  <c:v>8.9966659999999994</c:v>
                </c:pt>
                <c:pt idx="9">
                  <c:v>9.6550000000000011</c:v>
                </c:pt>
              </c:numCache>
            </c:numRef>
          </c:val>
          <c:smooth val="0"/>
          <c:extLst>
            <c:ext xmlns:c16="http://schemas.microsoft.com/office/drawing/2014/chart" uri="{C3380CC4-5D6E-409C-BE32-E72D297353CC}">
              <c16:uniqueId val="{00000005-747C-4F4C-AB55-7563F5EB9CD0}"/>
            </c:ext>
          </c:extLst>
        </c:ser>
        <c:dLbls>
          <c:showLegendKey val="0"/>
          <c:showVal val="0"/>
          <c:showCatName val="0"/>
          <c:showSerName val="0"/>
          <c:showPercent val="0"/>
          <c:showBubbleSize val="0"/>
        </c:dLbls>
        <c:marker val="1"/>
        <c:smooth val="0"/>
        <c:axId val="2054487375"/>
        <c:axId val="2054493615"/>
      </c:lineChart>
      <c:catAx>
        <c:axId val="2054487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2054493615"/>
        <c:crosses val="autoZero"/>
        <c:auto val="1"/>
        <c:lblAlgn val="ctr"/>
        <c:lblOffset val="100"/>
        <c:noMultiLvlLbl val="0"/>
      </c:catAx>
      <c:valAx>
        <c:axId val="2054493615"/>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2054487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'Ark1'!$B$18</c:f>
              <c:strCache>
                <c:ptCount val="1"/>
                <c:pt idx="0">
                  <c:v>Doktorgrad</c:v>
                </c:pt>
              </c:strCache>
            </c:strRef>
          </c:tx>
          <c:spPr>
            <a:solidFill>
              <a:srgbClr val="00338E"/>
            </a:solidFill>
            <a:ln w="28575">
              <a:noFill/>
            </a:ln>
            <a:effectLst/>
          </c:spPr>
          <c:invertIfNegative val="0"/>
          <c:cat>
            <c:numRef>
              <c:f>'Ark1'!$A$19:$A$28</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'Ark1'!$B$19:$B$28</c:f>
              <c:numCache>
                <c:formatCode>#\ ##0.0</c:formatCode>
                <c:ptCount val="10"/>
                <c:pt idx="0">
                  <c:v>1490.9331160000006</c:v>
                </c:pt>
                <c:pt idx="1">
                  <c:v>1385.4539509999995</c:v>
                </c:pt>
                <c:pt idx="2">
                  <c:v>1309.0972870000005</c:v>
                </c:pt>
                <c:pt idx="3">
                  <c:v>1369.7256110000003</c:v>
                </c:pt>
                <c:pt idx="4">
                  <c:v>1492.3530880000001</c:v>
                </c:pt>
                <c:pt idx="5">
                  <c:v>1591.6522440000003</c:v>
                </c:pt>
                <c:pt idx="6">
                  <c:v>1639.4163940000003</c:v>
                </c:pt>
                <c:pt idx="7">
                  <c:v>1661.5089160000007</c:v>
                </c:pt>
                <c:pt idx="8">
                  <c:v>1663.1614140000006</c:v>
                </c:pt>
                <c:pt idx="9">
                  <c:v>1768.3838930000006</c:v>
                </c:pt>
              </c:numCache>
            </c:numRef>
          </c:val>
          <c:extLst>
            <c:ext xmlns:c16="http://schemas.microsoft.com/office/drawing/2014/chart" uri="{C3380CC4-5D6E-409C-BE32-E72D297353CC}">
              <c16:uniqueId val="{00000000-885E-44FD-8B61-FBA5B6BAC8E7}"/>
            </c:ext>
          </c:extLst>
        </c:ser>
        <c:ser>
          <c:idx val="1"/>
          <c:order val="1"/>
          <c:tx>
            <c:strRef>
              <c:f>'Ark1'!$C$18</c:f>
              <c:strCache>
                <c:ptCount val="1"/>
                <c:pt idx="0">
                  <c:v>Postdoktor</c:v>
                </c:pt>
              </c:strCache>
            </c:strRef>
          </c:tx>
          <c:spPr>
            <a:solidFill>
              <a:srgbClr val="A3B4BC"/>
            </a:solidFill>
            <a:ln w="28575">
              <a:noFill/>
            </a:ln>
            <a:effectLst/>
          </c:spPr>
          <c:invertIfNegative val="0"/>
          <c:cat>
            <c:numRef>
              <c:f>'Ark1'!$A$19:$A$28</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'Ark1'!$C$19:$C$28</c:f>
              <c:numCache>
                <c:formatCode>#\ ##0.0</c:formatCode>
                <c:ptCount val="10"/>
                <c:pt idx="0">
                  <c:v>845.97233300000016</c:v>
                </c:pt>
                <c:pt idx="1">
                  <c:v>793.48234200000002</c:v>
                </c:pt>
                <c:pt idx="2">
                  <c:v>857.82900500000028</c:v>
                </c:pt>
                <c:pt idx="3">
                  <c:v>889.42733100000009</c:v>
                </c:pt>
                <c:pt idx="4">
                  <c:v>936.81813300000044</c:v>
                </c:pt>
                <c:pt idx="5">
                  <c:v>997.77063299999998</c:v>
                </c:pt>
                <c:pt idx="6">
                  <c:v>975.08562200000028</c:v>
                </c:pt>
                <c:pt idx="7">
                  <c:v>966.17062600000031</c:v>
                </c:pt>
                <c:pt idx="8">
                  <c:v>901.85147300000006</c:v>
                </c:pt>
                <c:pt idx="9">
                  <c:v>886.61230700000021</c:v>
                </c:pt>
              </c:numCache>
            </c:numRef>
          </c:val>
          <c:extLst>
            <c:ext xmlns:c16="http://schemas.microsoft.com/office/drawing/2014/chart" uri="{C3380CC4-5D6E-409C-BE32-E72D297353CC}">
              <c16:uniqueId val="{00000001-885E-44FD-8B61-FBA5B6BAC8E7}"/>
            </c:ext>
          </c:extLst>
        </c:ser>
        <c:dLbls>
          <c:showLegendKey val="0"/>
          <c:showVal val="0"/>
          <c:showCatName val="0"/>
          <c:showSerName val="0"/>
          <c:showPercent val="0"/>
          <c:showBubbleSize val="0"/>
        </c:dLbls>
        <c:gapWidth val="219"/>
        <c:overlap val="-27"/>
        <c:axId val="868350831"/>
        <c:axId val="868349583"/>
      </c:barChart>
      <c:catAx>
        <c:axId val="86835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868349583"/>
        <c:crosses val="autoZero"/>
        <c:auto val="1"/>
        <c:lblAlgn val="ctr"/>
        <c:lblOffset val="100"/>
        <c:noMultiLvlLbl val="0"/>
      </c:catAx>
      <c:valAx>
        <c:axId val="868349583"/>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868350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r>
              <a:rPr lang="nb-NO"/>
              <a:t>Doktorgradsårsverk</a:t>
            </a:r>
            <a:r>
              <a:rPr lang="nb-NO" baseline="0"/>
              <a:t> fordelt på kjønn (2019-2021)</a:t>
            </a:r>
            <a:endParaRPr lang="nb-NO"/>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endParaRPr lang="en-US"/>
        </a:p>
      </c:txPr>
    </c:title>
    <c:autoTitleDeleted val="0"/>
    <c:plotArea>
      <c:layout>
        <c:manualLayout>
          <c:layoutTarget val="inner"/>
          <c:xMode val="edge"/>
          <c:yMode val="edge"/>
          <c:x val="0.11083699647837104"/>
          <c:y val="7.3757304727153E-2"/>
          <c:w val="0.86968643751115049"/>
          <c:h val="0.61880582000420681"/>
        </c:manualLayout>
      </c:layout>
      <c:barChart>
        <c:barDir val="col"/>
        <c:grouping val="clustered"/>
        <c:varyColors val="0"/>
        <c:ser>
          <c:idx val="0"/>
          <c:order val="0"/>
          <c:tx>
            <c:strRef>
              <c:f>'Tabell antall årsverk'!$B$2</c:f>
              <c:strCache>
                <c:ptCount val="1"/>
                <c:pt idx="0">
                  <c:v>Mann</c:v>
                </c:pt>
              </c:strCache>
            </c:strRef>
          </c:tx>
          <c:spPr>
            <a:solidFill>
              <a:srgbClr val="00338E"/>
            </a:solidFill>
            <a:ln w="28575">
              <a:noFill/>
            </a:ln>
            <a:effectLst/>
          </c:spPr>
          <c:invertIfNegative val="0"/>
          <c:cat>
            <c:strRef>
              <c:f>'Tabell antall årsverk'!$A$3:$A$24</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årsverk'!$B$3:$B$24</c:f>
              <c:numCache>
                <c:formatCode>#,##0_);\(#,##0\)</c:formatCode>
                <c:ptCount val="22"/>
                <c:pt idx="0">
                  <c:v>22.294996999999999</c:v>
                </c:pt>
                <c:pt idx="1">
                  <c:v>328.22328100000004</c:v>
                </c:pt>
                <c:pt idx="2">
                  <c:v>38.451660999999994</c:v>
                </c:pt>
                <c:pt idx="3">
                  <c:v>102.09498400000004</c:v>
                </c:pt>
                <c:pt idx="4">
                  <c:v>84.039153999999982</c:v>
                </c:pt>
                <c:pt idx="5">
                  <c:v>84.040824000000001</c:v>
                </c:pt>
                <c:pt idx="6">
                  <c:v>85.172483999999997</c:v>
                </c:pt>
                <c:pt idx="7">
                  <c:v>52.236660000000001</c:v>
                </c:pt>
                <c:pt idx="8">
                  <c:v>36.600827000000002</c:v>
                </c:pt>
                <c:pt idx="9">
                  <c:v>124.69414599999999</c:v>
                </c:pt>
                <c:pt idx="10">
                  <c:v>291.94328000000024</c:v>
                </c:pt>
                <c:pt idx="11">
                  <c:v>227.41078400000001</c:v>
                </c:pt>
                <c:pt idx="12">
                  <c:v>160.45330600000003</c:v>
                </c:pt>
                <c:pt idx="13">
                  <c:v>64.180825999999982</c:v>
                </c:pt>
                <c:pt idx="15">
                  <c:v>38.359159999999989</c:v>
                </c:pt>
                <c:pt idx="16">
                  <c:v>231.81913900000006</c:v>
                </c:pt>
                <c:pt idx="17">
                  <c:v>299.87911100000036</c:v>
                </c:pt>
                <c:pt idx="18">
                  <c:v>312.75329800000014</c:v>
                </c:pt>
                <c:pt idx="19">
                  <c:v>19.474163999999995</c:v>
                </c:pt>
                <c:pt idx="20">
                  <c:v>73.882489999999962</c:v>
                </c:pt>
                <c:pt idx="21">
                  <c:v>130.61498799999998</c:v>
                </c:pt>
              </c:numCache>
            </c:numRef>
          </c:val>
          <c:extLst>
            <c:ext xmlns:c16="http://schemas.microsoft.com/office/drawing/2014/chart" uri="{C3380CC4-5D6E-409C-BE32-E72D297353CC}">
              <c16:uniqueId val="{00000000-4D73-453A-8186-BD90FBED41B7}"/>
            </c:ext>
          </c:extLst>
        </c:ser>
        <c:ser>
          <c:idx val="1"/>
          <c:order val="1"/>
          <c:tx>
            <c:strRef>
              <c:f>'Tabell antall årsverk'!$C$2</c:f>
              <c:strCache>
                <c:ptCount val="1"/>
                <c:pt idx="0">
                  <c:v>Kvinne</c:v>
                </c:pt>
              </c:strCache>
            </c:strRef>
          </c:tx>
          <c:spPr>
            <a:solidFill>
              <a:srgbClr val="A3B4BC"/>
            </a:solidFill>
            <a:ln w="28575">
              <a:noFill/>
            </a:ln>
            <a:effectLst/>
          </c:spPr>
          <c:invertIfNegative val="0"/>
          <c:cat>
            <c:strRef>
              <c:f>'Tabell antall årsverk'!$A$3:$A$24</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årsverk'!$C$3:$C$24</c:f>
              <c:numCache>
                <c:formatCode>#,##0_);\(#,##0\)</c:formatCode>
                <c:ptCount val="22"/>
                <c:pt idx="0">
                  <c:v>17.709164999999999</c:v>
                </c:pt>
                <c:pt idx="1">
                  <c:v>183.01330299999995</c:v>
                </c:pt>
                <c:pt idx="2">
                  <c:v>55.136657999999997</c:v>
                </c:pt>
                <c:pt idx="3">
                  <c:v>55.944991999999992</c:v>
                </c:pt>
                <c:pt idx="4">
                  <c:v>236.59497000000002</c:v>
                </c:pt>
                <c:pt idx="5">
                  <c:v>144.30081199999995</c:v>
                </c:pt>
                <c:pt idx="6">
                  <c:v>64.081658999999988</c:v>
                </c:pt>
                <c:pt idx="7">
                  <c:v>49.780824999999993</c:v>
                </c:pt>
                <c:pt idx="8">
                  <c:v>62.359156999999954</c:v>
                </c:pt>
                <c:pt idx="9">
                  <c:v>181.51413100000005</c:v>
                </c:pt>
                <c:pt idx="10">
                  <c:v>133.90914199999995</c:v>
                </c:pt>
                <c:pt idx="11">
                  <c:v>88.332481999999956</c:v>
                </c:pt>
                <c:pt idx="12">
                  <c:v>74.115822000000009</c:v>
                </c:pt>
                <c:pt idx="13">
                  <c:v>4.32</c:v>
                </c:pt>
                <c:pt idx="14">
                  <c:v>116.27748299999999</c:v>
                </c:pt>
                <c:pt idx="15">
                  <c:v>74.331652999999946</c:v>
                </c:pt>
                <c:pt idx="16">
                  <c:v>191.53330799999998</c:v>
                </c:pt>
                <c:pt idx="17">
                  <c:v>109.99413999999999</c:v>
                </c:pt>
                <c:pt idx="18">
                  <c:v>165.78581700000004</c:v>
                </c:pt>
                <c:pt idx="19">
                  <c:v>28.528329999999993</c:v>
                </c:pt>
                <c:pt idx="20">
                  <c:v>114.88415599999992</c:v>
                </c:pt>
                <c:pt idx="21">
                  <c:v>133.35998599999996</c:v>
                </c:pt>
              </c:numCache>
            </c:numRef>
          </c:val>
          <c:extLst>
            <c:ext xmlns:c16="http://schemas.microsoft.com/office/drawing/2014/chart" uri="{C3380CC4-5D6E-409C-BE32-E72D297353CC}">
              <c16:uniqueId val="{00000001-4D73-453A-8186-BD90FBED41B7}"/>
            </c:ext>
          </c:extLst>
        </c:ser>
        <c:dLbls>
          <c:showLegendKey val="0"/>
          <c:showVal val="0"/>
          <c:showCatName val="0"/>
          <c:showSerName val="0"/>
          <c:showPercent val="0"/>
          <c:showBubbleSize val="0"/>
        </c:dLbls>
        <c:gapWidth val="219"/>
        <c:overlap val="-27"/>
        <c:axId val="774926751"/>
        <c:axId val="774925503"/>
      </c:barChart>
      <c:catAx>
        <c:axId val="774926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1C445A"/>
                </a:solidFill>
                <a:latin typeface="Calibri" panose="020F0502020204030204" pitchFamily="34" charset="0"/>
                <a:ea typeface="+mn-ea"/>
                <a:cs typeface="+mn-cs"/>
              </a:defRPr>
            </a:pPr>
            <a:endParaRPr lang="en-US"/>
          </a:p>
        </c:txPr>
        <c:crossAx val="774925503"/>
        <c:crosses val="autoZero"/>
        <c:auto val="1"/>
        <c:lblAlgn val="ctr"/>
        <c:lblOffset val="100"/>
        <c:noMultiLvlLbl val="0"/>
      </c:catAx>
      <c:valAx>
        <c:axId val="774925503"/>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0_);\(#,##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77492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r>
              <a:rPr lang="nb-NO"/>
              <a:t>Doktorgradsårsverk</a:t>
            </a:r>
            <a:r>
              <a:rPr lang="nb-NO" baseline="0"/>
              <a:t> fordelt på fagområde (2019-2021)</a:t>
            </a:r>
            <a:endParaRPr lang="nb-NO"/>
          </a:p>
        </c:rich>
      </c:tx>
      <c:layout>
        <c:manualLayout>
          <c:xMode val="edge"/>
          <c:yMode val="edge"/>
          <c:x val="0.28577324700642542"/>
          <c:y val="1.191185229303156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endParaRPr lang="en-US"/>
        </a:p>
      </c:txPr>
    </c:title>
    <c:autoTitleDeleted val="0"/>
    <c:plotArea>
      <c:layout/>
      <c:barChart>
        <c:barDir val="col"/>
        <c:grouping val="stacked"/>
        <c:varyColors val="0"/>
        <c:ser>
          <c:idx val="0"/>
          <c:order val="0"/>
          <c:tx>
            <c:strRef>
              <c:f>'Tabell antall årsverk'!$B$3</c:f>
              <c:strCache>
                <c:ptCount val="1"/>
                <c:pt idx="0">
                  <c:v>Teknologi</c:v>
                </c:pt>
              </c:strCache>
            </c:strRef>
          </c:tx>
          <c:spPr>
            <a:solidFill>
              <a:srgbClr val="00338E"/>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årsverk'!$B$4:$B$25</c:f>
              <c:numCache>
                <c:formatCode>#,##0_);\(#,##0\)</c:formatCode>
                <c:ptCount val="22"/>
                <c:pt idx="0">
                  <c:v>4.7399990000000001</c:v>
                </c:pt>
                <c:pt idx="1">
                  <c:v>438.3891040000002</c:v>
                </c:pt>
                <c:pt idx="2">
                  <c:v>3.91</c:v>
                </c:pt>
                <c:pt idx="3">
                  <c:v>75.623321999999973</c:v>
                </c:pt>
                <c:pt idx="6">
                  <c:v>110.690814</c:v>
                </c:pt>
                <c:pt idx="7">
                  <c:v>3</c:v>
                </c:pt>
                <c:pt idx="8">
                  <c:v>17.554997999999998</c:v>
                </c:pt>
                <c:pt idx="9">
                  <c:v>1.916666</c:v>
                </c:pt>
                <c:pt idx="10">
                  <c:v>239.98995800000006</c:v>
                </c:pt>
                <c:pt idx="11">
                  <c:v>54.337485999999984</c:v>
                </c:pt>
                <c:pt idx="12">
                  <c:v>184.93330700000007</c:v>
                </c:pt>
                <c:pt idx="14">
                  <c:v>6.5799980000000007</c:v>
                </c:pt>
                <c:pt idx="16">
                  <c:v>45.971660999999997</c:v>
                </c:pt>
                <c:pt idx="17">
                  <c:v>312.20743600000026</c:v>
                </c:pt>
                <c:pt idx="18">
                  <c:v>203.51414199999996</c:v>
                </c:pt>
                <c:pt idx="19">
                  <c:v>3.4133329999999997</c:v>
                </c:pt>
                <c:pt idx="20">
                  <c:v>22.882496999999997</c:v>
                </c:pt>
                <c:pt idx="21">
                  <c:v>51.269161999999973</c:v>
                </c:pt>
              </c:numCache>
            </c:numRef>
          </c:val>
          <c:extLst>
            <c:ext xmlns:c16="http://schemas.microsoft.com/office/drawing/2014/chart" uri="{C3380CC4-5D6E-409C-BE32-E72D297353CC}">
              <c16:uniqueId val="{00000000-54DC-4B85-A3EF-F2B6256441BB}"/>
            </c:ext>
          </c:extLst>
        </c:ser>
        <c:ser>
          <c:idx val="1"/>
          <c:order val="1"/>
          <c:tx>
            <c:strRef>
              <c:f>'Tabell antall årsverk'!$C$3</c:f>
              <c:strCache>
                <c:ptCount val="1"/>
                <c:pt idx="0">
                  <c:v>Matematikk og naturvitenskap</c:v>
                </c:pt>
              </c:strCache>
            </c:strRef>
          </c:tx>
          <c:spPr>
            <a:solidFill>
              <a:srgbClr val="A3B4BC"/>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årsverk'!$C$4:$C$25</c:f>
              <c:numCache>
                <c:formatCode>#,##0_);\(#,##0\)</c:formatCode>
                <c:ptCount val="22"/>
                <c:pt idx="0">
                  <c:v>0.5</c:v>
                </c:pt>
                <c:pt idx="1">
                  <c:v>11.988330999999999</c:v>
                </c:pt>
                <c:pt idx="3">
                  <c:v>29.564993999999995</c:v>
                </c:pt>
                <c:pt idx="4">
                  <c:v>0.66</c:v>
                </c:pt>
                <c:pt idx="6">
                  <c:v>22.318330999999997</c:v>
                </c:pt>
                <c:pt idx="7">
                  <c:v>75.964987999999991</c:v>
                </c:pt>
                <c:pt idx="8">
                  <c:v>20.974994999999996</c:v>
                </c:pt>
                <c:pt idx="9">
                  <c:v>131.20247699999999</c:v>
                </c:pt>
                <c:pt idx="10">
                  <c:v>158.31830300000001</c:v>
                </c:pt>
                <c:pt idx="11">
                  <c:v>260.15577999999999</c:v>
                </c:pt>
                <c:pt idx="12">
                  <c:v>35.566655999999995</c:v>
                </c:pt>
                <c:pt idx="14">
                  <c:v>6.5716660000000005</c:v>
                </c:pt>
                <c:pt idx="16">
                  <c:v>171.04164500000005</c:v>
                </c:pt>
                <c:pt idx="17">
                  <c:v>73.611655999999996</c:v>
                </c:pt>
                <c:pt idx="18">
                  <c:v>101.83498899999999</c:v>
                </c:pt>
                <c:pt idx="20">
                  <c:v>6.3899990000000004</c:v>
                </c:pt>
                <c:pt idx="21">
                  <c:v>72.200827000000004</c:v>
                </c:pt>
              </c:numCache>
            </c:numRef>
          </c:val>
          <c:extLst>
            <c:ext xmlns:c16="http://schemas.microsoft.com/office/drawing/2014/chart" uri="{C3380CC4-5D6E-409C-BE32-E72D297353CC}">
              <c16:uniqueId val="{00000001-54DC-4B85-A3EF-F2B6256441BB}"/>
            </c:ext>
          </c:extLst>
        </c:ser>
        <c:ser>
          <c:idx val="2"/>
          <c:order val="2"/>
          <c:tx>
            <c:strRef>
              <c:f>'Tabell antall årsverk'!$D$3</c:f>
              <c:strCache>
                <c:ptCount val="1"/>
                <c:pt idx="0">
                  <c:v>Medisin og helsefag</c:v>
                </c:pt>
              </c:strCache>
            </c:strRef>
          </c:tx>
          <c:spPr>
            <a:solidFill>
              <a:srgbClr val="01BDE2"/>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årsverk'!$D$4:$D$25</c:f>
              <c:numCache>
                <c:formatCode>General</c:formatCode>
                <c:ptCount val="22"/>
                <c:pt idx="2" formatCode="#,##0_);\(#,##0\)">
                  <c:v>42.377493999999999</c:v>
                </c:pt>
                <c:pt idx="4" formatCode="#,##0_);\(#,##0\)">
                  <c:v>263.72329700000006</c:v>
                </c:pt>
                <c:pt idx="5" formatCode="#,##0_);\(#,##0\)">
                  <c:v>6.5833320000000004</c:v>
                </c:pt>
                <c:pt idx="8" formatCode="#,##0_);\(#,##0\)">
                  <c:v>2.3224999999999998</c:v>
                </c:pt>
                <c:pt idx="9" formatCode="#,##0_);\(#,##0\)">
                  <c:v>166.26246899999998</c:v>
                </c:pt>
                <c:pt idx="10" formatCode="#,##0_);\(#,##0\)">
                  <c:v>6.6666650000000001</c:v>
                </c:pt>
                <c:pt idx="11" formatCode="#,##0_);\(#,##0\)">
                  <c:v>1.25</c:v>
                </c:pt>
                <c:pt idx="12" formatCode="#,##0_);\(#,##0\)">
                  <c:v>5.4999990000000007</c:v>
                </c:pt>
                <c:pt idx="13" formatCode="#,##0_);\(#,##0\)">
                  <c:v>1.7400000000000002</c:v>
                </c:pt>
                <c:pt idx="14" formatCode="#,##0_);\(#,##0\)">
                  <c:v>1.409999</c:v>
                </c:pt>
                <c:pt idx="15" formatCode="#,##0_);\(#,##0\)">
                  <c:v>13.643330999999998</c:v>
                </c:pt>
                <c:pt idx="16" formatCode="#,##0_);\(#,##0\)">
                  <c:v>128.33998499999998</c:v>
                </c:pt>
                <c:pt idx="17" formatCode="#,##0_);\(#,##0\)">
                  <c:v>17.892496000000001</c:v>
                </c:pt>
                <c:pt idx="18" formatCode="#,##0_);\(#,##0\)">
                  <c:v>42.709996999999994</c:v>
                </c:pt>
                <c:pt idx="19" formatCode="#,##0_);\(#,##0\)">
                  <c:v>9.1416660000000007</c:v>
                </c:pt>
                <c:pt idx="20" formatCode="#,##0_);\(#,##0\)">
                  <c:v>33.712495999999994</c:v>
                </c:pt>
                <c:pt idx="21" formatCode="#,##0_);\(#,##0\)">
                  <c:v>30.038328999999994</c:v>
                </c:pt>
              </c:numCache>
            </c:numRef>
          </c:val>
          <c:extLst>
            <c:ext xmlns:c16="http://schemas.microsoft.com/office/drawing/2014/chart" uri="{C3380CC4-5D6E-409C-BE32-E72D297353CC}">
              <c16:uniqueId val="{00000002-54DC-4B85-A3EF-F2B6256441BB}"/>
            </c:ext>
          </c:extLst>
        </c:ser>
        <c:ser>
          <c:idx val="3"/>
          <c:order val="3"/>
          <c:tx>
            <c:strRef>
              <c:f>'Tabell antall årsverk'!$E$3</c:f>
              <c:strCache>
                <c:ptCount val="1"/>
                <c:pt idx="0">
                  <c:v>Samfunnsvitenskap</c:v>
                </c:pt>
              </c:strCache>
            </c:strRef>
          </c:tx>
          <c:spPr>
            <a:solidFill>
              <a:srgbClr val="FF7C00"/>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årsverk'!$E$4:$E$25</c:f>
              <c:numCache>
                <c:formatCode>#,##0_);\(#,##0\)</c:formatCode>
                <c:ptCount val="22"/>
                <c:pt idx="0">
                  <c:v>34.764162999999996</c:v>
                </c:pt>
                <c:pt idx="1">
                  <c:v>58.442483000000003</c:v>
                </c:pt>
                <c:pt idx="2">
                  <c:v>40.802492000000001</c:v>
                </c:pt>
                <c:pt idx="3">
                  <c:v>13.227498999999998</c:v>
                </c:pt>
                <c:pt idx="4">
                  <c:v>55.917493999999991</c:v>
                </c:pt>
                <c:pt idx="5">
                  <c:v>126.30164899999997</c:v>
                </c:pt>
                <c:pt idx="6">
                  <c:v>9.3283319999999996</c:v>
                </c:pt>
                <c:pt idx="7">
                  <c:v>18.719996999999999</c:v>
                </c:pt>
                <c:pt idx="8">
                  <c:v>20.590828999999999</c:v>
                </c:pt>
                <c:pt idx="9">
                  <c:v>6.8266650000000002</c:v>
                </c:pt>
                <c:pt idx="10">
                  <c:v>14.389997000000001</c:v>
                </c:pt>
                <c:pt idx="12">
                  <c:v>8.5691659999999992</c:v>
                </c:pt>
                <c:pt idx="13">
                  <c:v>2.08</c:v>
                </c:pt>
                <c:pt idx="14">
                  <c:v>158.32664899999997</c:v>
                </c:pt>
                <c:pt idx="15">
                  <c:v>81.994151999999985</c:v>
                </c:pt>
                <c:pt idx="16">
                  <c:v>48.499160999999994</c:v>
                </c:pt>
                <c:pt idx="18">
                  <c:v>72.639158999999992</c:v>
                </c:pt>
                <c:pt idx="19">
                  <c:v>27.708328999999999</c:v>
                </c:pt>
                <c:pt idx="20">
                  <c:v>129.85499199999992</c:v>
                </c:pt>
                <c:pt idx="21">
                  <c:v>28.806663</c:v>
                </c:pt>
              </c:numCache>
            </c:numRef>
          </c:val>
          <c:extLst>
            <c:ext xmlns:c16="http://schemas.microsoft.com/office/drawing/2014/chart" uri="{C3380CC4-5D6E-409C-BE32-E72D297353CC}">
              <c16:uniqueId val="{00000003-54DC-4B85-A3EF-F2B6256441BB}"/>
            </c:ext>
          </c:extLst>
        </c:ser>
        <c:ser>
          <c:idx val="4"/>
          <c:order val="4"/>
          <c:tx>
            <c:strRef>
              <c:f>'Tabell antall årsverk'!$F$3</c:f>
              <c:strCache>
                <c:ptCount val="1"/>
                <c:pt idx="0">
                  <c:v>Humaniora</c:v>
                </c:pt>
              </c:strCache>
            </c:strRef>
          </c:tx>
          <c:spPr>
            <a:solidFill>
              <a:srgbClr val="E03600"/>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årsverk'!$F$4:$F$25</c:f>
              <c:numCache>
                <c:formatCode>#,##0_);\(#,##0\)</c:formatCode>
                <c:ptCount val="22"/>
                <c:pt idx="1">
                  <c:v>1.5</c:v>
                </c:pt>
                <c:pt idx="2">
                  <c:v>6.4983329999999997</c:v>
                </c:pt>
                <c:pt idx="3">
                  <c:v>3.9966660000000003</c:v>
                </c:pt>
                <c:pt idx="4">
                  <c:v>0.33333299999999999</c:v>
                </c:pt>
                <c:pt idx="5">
                  <c:v>95.456654999999941</c:v>
                </c:pt>
                <c:pt idx="7">
                  <c:v>4.3324999999999996</c:v>
                </c:pt>
                <c:pt idx="8">
                  <c:v>5.1558329999999994</c:v>
                </c:pt>
                <c:pt idx="10">
                  <c:v>6.0708330000000004</c:v>
                </c:pt>
                <c:pt idx="13">
                  <c:v>0.5</c:v>
                </c:pt>
                <c:pt idx="14">
                  <c:v>4.1633310000000003</c:v>
                </c:pt>
                <c:pt idx="15">
                  <c:v>17.053330000000003</c:v>
                </c:pt>
                <c:pt idx="16">
                  <c:v>29.166661999999995</c:v>
                </c:pt>
                <c:pt idx="18">
                  <c:v>5.4166660000000002</c:v>
                </c:pt>
                <c:pt idx="19">
                  <c:v>7.739166</c:v>
                </c:pt>
                <c:pt idx="20">
                  <c:v>24.123327999999994</c:v>
                </c:pt>
                <c:pt idx="21">
                  <c:v>2.2466659999999998</c:v>
                </c:pt>
              </c:numCache>
            </c:numRef>
          </c:val>
          <c:extLst>
            <c:ext xmlns:c16="http://schemas.microsoft.com/office/drawing/2014/chart" uri="{C3380CC4-5D6E-409C-BE32-E72D297353CC}">
              <c16:uniqueId val="{00000004-54DC-4B85-A3EF-F2B6256441BB}"/>
            </c:ext>
          </c:extLst>
        </c:ser>
        <c:ser>
          <c:idx val="5"/>
          <c:order val="5"/>
          <c:tx>
            <c:strRef>
              <c:f>'Tabell antall årsverk'!$G$3</c:f>
              <c:strCache>
                <c:ptCount val="1"/>
                <c:pt idx="0">
                  <c:v>Landbruks- og fiskerifag</c:v>
                </c:pt>
              </c:strCache>
            </c:strRef>
          </c:tx>
          <c:spPr>
            <a:solidFill>
              <a:srgbClr val="00C361"/>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årsverk'!$G$4:$G$25</c:f>
              <c:numCache>
                <c:formatCode>#,##0_);\(#,##0\)</c:formatCode>
                <c:ptCount val="22"/>
                <c:pt idx="1">
                  <c:v>0.91666599999999998</c:v>
                </c:pt>
                <c:pt idx="2">
                  <c:v>0</c:v>
                </c:pt>
                <c:pt idx="3">
                  <c:v>35.627494999999996</c:v>
                </c:pt>
                <c:pt idx="6">
                  <c:v>6.9166659999999993</c:v>
                </c:pt>
                <c:pt idx="8">
                  <c:v>32.360829000000003</c:v>
                </c:pt>
                <c:pt idx="10">
                  <c:v>0.41666599999999998</c:v>
                </c:pt>
                <c:pt idx="14">
                  <c:v>3.406666</c:v>
                </c:pt>
                <c:pt idx="17">
                  <c:v>6.161662999999999</c:v>
                </c:pt>
                <c:pt idx="18">
                  <c:v>51.424161999999995</c:v>
                </c:pt>
                <c:pt idx="21">
                  <c:v>50.876661000000006</c:v>
                </c:pt>
              </c:numCache>
            </c:numRef>
          </c:val>
          <c:extLst>
            <c:ext xmlns:c16="http://schemas.microsoft.com/office/drawing/2014/chart" uri="{C3380CC4-5D6E-409C-BE32-E72D297353CC}">
              <c16:uniqueId val="{00000005-54DC-4B85-A3EF-F2B6256441BB}"/>
            </c:ext>
          </c:extLst>
        </c:ser>
        <c:dLbls>
          <c:showLegendKey val="0"/>
          <c:showVal val="0"/>
          <c:showCatName val="0"/>
          <c:showSerName val="0"/>
          <c:showPercent val="0"/>
          <c:showBubbleSize val="0"/>
        </c:dLbls>
        <c:gapWidth val="150"/>
        <c:overlap val="100"/>
        <c:axId val="2128298463"/>
        <c:axId val="2128294719"/>
      </c:barChart>
      <c:catAx>
        <c:axId val="21282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1C445A"/>
                </a:solidFill>
                <a:latin typeface="Calibri" panose="020F0502020204030204" pitchFamily="34" charset="0"/>
                <a:ea typeface="+mn-ea"/>
                <a:cs typeface="+mn-cs"/>
              </a:defRPr>
            </a:pPr>
            <a:endParaRPr lang="en-US"/>
          </a:p>
        </c:txPr>
        <c:crossAx val="2128294719"/>
        <c:crosses val="autoZero"/>
        <c:auto val="1"/>
        <c:lblAlgn val="ctr"/>
        <c:lblOffset val="100"/>
        <c:noMultiLvlLbl val="0"/>
      </c:catAx>
      <c:valAx>
        <c:axId val="2128294719"/>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0_);\(#,##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21282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r>
              <a:rPr lang="nb-NO"/>
              <a:t>Doktorgradsårsverk</a:t>
            </a:r>
            <a:r>
              <a:rPr lang="nb-NO" baseline="0"/>
              <a:t> fordelt på fagområde (2019-2021)</a:t>
            </a:r>
            <a:endParaRPr lang="nb-NO"/>
          </a:p>
        </c:rich>
      </c:tx>
      <c:layout>
        <c:manualLayout>
          <c:xMode val="edge"/>
          <c:yMode val="edge"/>
          <c:x val="0.28577324700642542"/>
          <c:y val="1.191185229303156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endParaRPr lang="en-US"/>
        </a:p>
      </c:txPr>
    </c:title>
    <c:autoTitleDeleted val="0"/>
    <c:plotArea>
      <c:layout/>
      <c:barChart>
        <c:barDir val="col"/>
        <c:grouping val="stacked"/>
        <c:varyColors val="0"/>
        <c:ser>
          <c:idx val="0"/>
          <c:order val="0"/>
          <c:tx>
            <c:strRef>
              <c:f>'Tabell antall årsverk'!$B$3</c:f>
              <c:strCache>
                <c:ptCount val="1"/>
                <c:pt idx="0">
                  <c:v>Teknologi</c:v>
                </c:pt>
              </c:strCache>
            </c:strRef>
          </c:tx>
          <c:spPr>
            <a:solidFill>
              <a:srgbClr val="00338E"/>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årsverk'!$B$4:$B$25</c:f>
              <c:numCache>
                <c:formatCode>#,##0_);\(#,##0\)</c:formatCode>
                <c:ptCount val="22"/>
                <c:pt idx="0">
                  <c:v>4.7399990000000001</c:v>
                </c:pt>
                <c:pt idx="1">
                  <c:v>438.3891040000002</c:v>
                </c:pt>
                <c:pt idx="2">
                  <c:v>3.91</c:v>
                </c:pt>
                <c:pt idx="3">
                  <c:v>75.623321999999973</c:v>
                </c:pt>
                <c:pt idx="6">
                  <c:v>110.690814</c:v>
                </c:pt>
                <c:pt idx="7">
                  <c:v>3</c:v>
                </c:pt>
                <c:pt idx="8">
                  <c:v>17.554997999999998</c:v>
                </c:pt>
                <c:pt idx="9">
                  <c:v>1.916666</c:v>
                </c:pt>
                <c:pt idx="10">
                  <c:v>239.98995800000006</c:v>
                </c:pt>
                <c:pt idx="11">
                  <c:v>54.337485999999984</c:v>
                </c:pt>
                <c:pt idx="12">
                  <c:v>184.93330700000007</c:v>
                </c:pt>
                <c:pt idx="14">
                  <c:v>6.5799980000000007</c:v>
                </c:pt>
                <c:pt idx="16">
                  <c:v>45.971660999999997</c:v>
                </c:pt>
                <c:pt idx="17">
                  <c:v>312.20743600000026</c:v>
                </c:pt>
                <c:pt idx="18">
                  <c:v>203.51414199999996</c:v>
                </c:pt>
                <c:pt idx="19">
                  <c:v>3.4133329999999997</c:v>
                </c:pt>
                <c:pt idx="20">
                  <c:v>22.882496999999997</c:v>
                </c:pt>
                <c:pt idx="21">
                  <c:v>51.269161999999973</c:v>
                </c:pt>
              </c:numCache>
            </c:numRef>
          </c:val>
          <c:extLst>
            <c:ext xmlns:c16="http://schemas.microsoft.com/office/drawing/2014/chart" uri="{C3380CC4-5D6E-409C-BE32-E72D297353CC}">
              <c16:uniqueId val="{00000000-E896-4045-8CF4-73AED96FB388}"/>
            </c:ext>
          </c:extLst>
        </c:ser>
        <c:ser>
          <c:idx val="1"/>
          <c:order val="1"/>
          <c:tx>
            <c:strRef>
              <c:f>'Tabell antall årsverk'!$C$3</c:f>
              <c:strCache>
                <c:ptCount val="1"/>
                <c:pt idx="0">
                  <c:v>Matematikk og naturvitenskap</c:v>
                </c:pt>
              </c:strCache>
            </c:strRef>
          </c:tx>
          <c:spPr>
            <a:solidFill>
              <a:srgbClr val="A3B4BC"/>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årsverk'!$C$4:$C$25</c:f>
              <c:numCache>
                <c:formatCode>#,##0_);\(#,##0\)</c:formatCode>
                <c:ptCount val="22"/>
                <c:pt idx="0">
                  <c:v>0.5</c:v>
                </c:pt>
                <c:pt idx="1">
                  <c:v>11.988330999999999</c:v>
                </c:pt>
                <c:pt idx="3">
                  <c:v>29.564993999999995</c:v>
                </c:pt>
                <c:pt idx="4">
                  <c:v>0.66</c:v>
                </c:pt>
                <c:pt idx="6">
                  <c:v>22.318330999999997</c:v>
                </c:pt>
                <c:pt idx="7">
                  <c:v>75.964987999999991</c:v>
                </c:pt>
                <c:pt idx="8">
                  <c:v>20.974994999999996</c:v>
                </c:pt>
                <c:pt idx="9">
                  <c:v>131.20247699999999</c:v>
                </c:pt>
                <c:pt idx="10">
                  <c:v>158.31830300000001</c:v>
                </c:pt>
                <c:pt idx="11">
                  <c:v>260.15577999999999</c:v>
                </c:pt>
                <c:pt idx="12">
                  <c:v>35.566655999999995</c:v>
                </c:pt>
                <c:pt idx="14">
                  <c:v>6.5716660000000005</c:v>
                </c:pt>
                <c:pt idx="16">
                  <c:v>171.04164500000005</c:v>
                </c:pt>
                <c:pt idx="17">
                  <c:v>73.611655999999996</c:v>
                </c:pt>
                <c:pt idx="18">
                  <c:v>101.83498899999999</c:v>
                </c:pt>
                <c:pt idx="20">
                  <c:v>6.3899990000000004</c:v>
                </c:pt>
                <c:pt idx="21">
                  <c:v>72.200827000000004</c:v>
                </c:pt>
              </c:numCache>
            </c:numRef>
          </c:val>
          <c:extLst>
            <c:ext xmlns:c16="http://schemas.microsoft.com/office/drawing/2014/chart" uri="{C3380CC4-5D6E-409C-BE32-E72D297353CC}">
              <c16:uniqueId val="{00000001-E896-4045-8CF4-73AED96FB388}"/>
            </c:ext>
          </c:extLst>
        </c:ser>
        <c:ser>
          <c:idx val="2"/>
          <c:order val="2"/>
          <c:tx>
            <c:strRef>
              <c:f>'Tabell antall årsverk'!$D$3</c:f>
              <c:strCache>
                <c:ptCount val="1"/>
                <c:pt idx="0">
                  <c:v>Medisin og helsefag</c:v>
                </c:pt>
              </c:strCache>
            </c:strRef>
          </c:tx>
          <c:spPr>
            <a:solidFill>
              <a:srgbClr val="01BDE2"/>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årsverk'!$D$4:$D$25</c:f>
              <c:numCache>
                <c:formatCode>General</c:formatCode>
                <c:ptCount val="22"/>
                <c:pt idx="2" formatCode="#,##0_);\(#,##0\)">
                  <c:v>42.377493999999999</c:v>
                </c:pt>
                <c:pt idx="4" formatCode="#,##0_);\(#,##0\)">
                  <c:v>263.72329700000006</c:v>
                </c:pt>
                <c:pt idx="5" formatCode="#,##0_);\(#,##0\)">
                  <c:v>6.5833320000000004</c:v>
                </c:pt>
                <c:pt idx="8" formatCode="#,##0_);\(#,##0\)">
                  <c:v>2.3224999999999998</c:v>
                </c:pt>
                <c:pt idx="9" formatCode="#,##0_);\(#,##0\)">
                  <c:v>166.26246899999998</c:v>
                </c:pt>
                <c:pt idx="10" formatCode="#,##0_);\(#,##0\)">
                  <c:v>6.6666650000000001</c:v>
                </c:pt>
                <c:pt idx="11" formatCode="#,##0_);\(#,##0\)">
                  <c:v>1.25</c:v>
                </c:pt>
                <c:pt idx="12" formatCode="#,##0_);\(#,##0\)">
                  <c:v>5.4999990000000007</c:v>
                </c:pt>
                <c:pt idx="13" formatCode="#,##0_);\(#,##0\)">
                  <c:v>1.7400000000000002</c:v>
                </c:pt>
                <c:pt idx="14" formatCode="#,##0_);\(#,##0\)">
                  <c:v>1.409999</c:v>
                </c:pt>
                <c:pt idx="15" formatCode="#,##0_);\(#,##0\)">
                  <c:v>13.643330999999998</c:v>
                </c:pt>
                <c:pt idx="16" formatCode="#,##0_);\(#,##0\)">
                  <c:v>128.33998499999998</c:v>
                </c:pt>
                <c:pt idx="17" formatCode="#,##0_);\(#,##0\)">
                  <c:v>17.892496000000001</c:v>
                </c:pt>
                <c:pt idx="18" formatCode="#,##0_);\(#,##0\)">
                  <c:v>42.709996999999994</c:v>
                </c:pt>
                <c:pt idx="19" formatCode="#,##0_);\(#,##0\)">
                  <c:v>9.1416660000000007</c:v>
                </c:pt>
                <c:pt idx="20" formatCode="#,##0_);\(#,##0\)">
                  <c:v>33.712495999999994</c:v>
                </c:pt>
                <c:pt idx="21" formatCode="#,##0_);\(#,##0\)">
                  <c:v>30.038328999999994</c:v>
                </c:pt>
              </c:numCache>
            </c:numRef>
          </c:val>
          <c:extLst>
            <c:ext xmlns:c16="http://schemas.microsoft.com/office/drawing/2014/chart" uri="{C3380CC4-5D6E-409C-BE32-E72D297353CC}">
              <c16:uniqueId val="{00000002-E896-4045-8CF4-73AED96FB388}"/>
            </c:ext>
          </c:extLst>
        </c:ser>
        <c:ser>
          <c:idx val="3"/>
          <c:order val="3"/>
          <c:tx>
            <c:strRef>
              <c:f>'Tabell antall årsverk'!$E$3</c:f>
              <c:strCache>
                <c:ptCount val="1"/>
                <c:pt idx="0">
                  <c:v>Samfunnsvitenskap</c:v>
                </c:pt>
              </c:strCache>
            </c:strRef>
          </c:tx>
          <c:spPr>
            <a:solidFill>
              <a:srgbClr val="FF7C00"/>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årsverk'!$E$4:$E$25</c:f>
              <c:numCache>
                <c:formatCode>#,##0_);\(#,##0\)</c:formatCode>
                <c:ptCount val="22"/>
                <c:pt idx="0">
                  <c:v>34.764162999999996</c:v>
                </c:pt>
                <c:pt idx="1">
                  <c:v>58.442483000000003</c:v>
                </c:pt>
                <c:pt idx="2">
                  <c:v>40.802492000000001</c:v>
                </c:pt>
                <c:pt idx="3">
                  <c:v>13.227498999999998</c:v>
                </c:pt>
                <c:pt idx="4">
                  <c:v>55.917493999999991</c:v>
                </c:pt>
                <c:pt idx="5">
                  <c:v>126.30164899999997</c:v>
                </c:pt>
                <c:pt idx="6">
                  <c:v>9.3283319999999996</c:v>
                </c:pt>
                <c:pt idx="7">
                  <c:v>18.719996999999999</c:v>
                </c:pt>
                <c:pt idx="8">
                  <c:v>20.590828999999999</c:v>
                </c:pt>
                <c:pt idx="9">
                  <c:v>6.8266650000000002</c:v>
                </c:pt>
                <c:pt idx="10">
                  <c:v>14.389997000000001</c:v>
                </c:pt>
                <c:pt idx="12">
                  <c:v>8.5691659999999992</c:v>
                </c:pt>
                <c:pt idx="13">
                  <c:v>2.08</c:v>
                </c:pt>
                <c:pt idx="14">
                  <c:v>158.32664899999997</c:v>
                </c:pt>
                <c:pt idx="15">
                  <c:v>81.994151999999985</c:v>
                </c:pt>
                <c:pt idx="16">
                  <c:v>48.499160999999994</c:v>
                </c:pt>
                <c:pt idx="18">
                  <c:v>72.639158999999992</c:v>
                </c:pt>
                <c:pt idx="19">
                  <c:v>27.708328999999999</c:v>
                </c:pt>
                <c:pt idx="20">
                  <c:v>129.85499199999992</c:v>
                </c:pt>
                <c:pt idx="21">
                  <c:v>28.806663</c:v>
                </c:pt>
              </c:numCache>
            </c:numRef>
          </c:val>
          <c:extLst>
            <c:ext xmlns:c16="http://schemas.microsoft.com/office/drawing/2014/chart" uri="{C3380CC4-5D6E-409C-BE32-E72D297353CC}">
              <c16:uniqueId val="{00000003-E896-4045-8CF4-73AED96FB388}"/>
            </c:ext>
          </c:extLst>
        </c:ser>
        <c:ser>
          <c:idx val="4"/>
          <c:order val="4"/>
          <c:tx>
            <c:strRef>
              <c:f>'Tabell antall årsverk'!$F$3</c:f>
              <c:strCache>
                <c:ptCount val="1"/>
                <c:pt idx="0">
                  <c:v>Humaniora</c:v>
                </c:pt>
              </c:strCache>
            </c:strRef>
          </c:tx>
          <c:spPr>
            <a:solidFill>
              <a:srgbClr val="E03600"/>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årsverk'!$F$4:$F$25</c:f>
              <c:numCache>
                <c:formatCode>#,##0_);\(#,##0\)</c:formatCode>
                <c:ptCount val="22"/>
                <c:pt idx="1">
                  <c:v>1.5</c:v>
                </c:pt>
                <c:pt idx="2">
                  <c:v>6.4983329999999997</c:v>
                </c:pt>
                <c:pt idx="3">
                  <c:v>3.9966660000000003</c:v>
                </c:pt>
                <c:pt idx="4">
                  <c:v>0.33333299999999999</c:v>
                </c:pt>
                <c:pt idx="5">
                  <c:v>95.456654999999941</c:v>
                </c:pt>
                <c:pt idx="7">
                  <c:v>4.3324999999999996</c:v>
                </c:pt>
                <c:pt idx="8">
                  <c:v>5.1558329999999994</c:v>
                </c:pt>
                <c:pt idx="10">
                  <c:v>6.0708330000000004</c:v>
                </c:pt>
                <c:pt idx="13">
                  <c:v>0.5</c:v>
                </c:pt>
                <c:pt idx="14">
                  <c:v>4.1633310000000003</c:v>
                </c:pt>
                <c:pt idx="15">
                  <c:v>17.053330000000003</c:v>
                </c:pt>
                <c:pt idx="16">
                  <c:v>29.166661999999995</c:v>
                </c:pt>
                <c:pt idx="18">
                  <c:v>5.4166660000000002</c:v>
                </c:pt>
                <c:pt idx="19">
                  <c:v>7.739166</c:v>
                </c:pt>
                <c:pt idx="20">
                  <c:v>24.123327999999994</c:v>
                </c:pt>
                <c:pt idx="21">
                  <c:v>2.2466659999999998</c:v>
                </c:pt>
              </c:numCache>
            </c:numRef>
          </c:val>
          <c:extLst>
            <c:ext xmlns:c16="http://schemas.microsoft.com/office/drawing/2014/chart" uri="{C3380CC4-5D6E-409C-BE32-E72D297353CC}">
              <c16:uniqueId val="{00000004-E896-4045-8CF4-73AED96FB388}"/>
            </c:ext>
          </c:extLst>
        </c:ser>
        <c:ser>
          <c:idx val="5"/>
          <c:order val="5"/>
          <c:tx>
            <c:strRef>
              <c:f>'Tabell antall årsverk'!$G$3</c:f>
              <c:strCache>
                <c:ptCount val="1"/>
                <c:pt idx="0">
                  <c:v>Landbruks- og fiskerifag</c:v>
                </c:pt>
              </c:strCache>
            </c:strRef>
          </c:tx>
          <c:spPr>
            <a:solidFill>
              <a:srgbClr val="00C361"/>
            </a:solidFill>
            <a:ln w="28575">
              <a:noFill/>
            </a:ln>
            <a:effectLst/>
          </c:spPr>
          <c:invertIfNegative val="0"/>
          <c:cat>
            <c:strRef>
              <c:f>'Tabell antall årsverk'!$A$4:$A$25</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sektor-ph.d.</c:v>
                </c:pt>
                <c:pt idx="20">
                  <c:v>Inoffarena*</c:v>
                </c:pt>
                <c:pt idx="21">
                  <c:v>Annet</c:v>
                </c:pt>
              </c:strCache>
            </c:strRef>
          </c:cat>
          <c:val>
            <c:numRef>
              <c:f>'Tabell antall årsverk'!$G$4:$G$25</c:f>
              <c:numCache>
                <c:formatCode>#,##0_);\(#,##0\)</c:formatCode>
                <c:ptCount val="22"/>
                <c:pt idx="1">
                  <c:v>0.91666599999999998</c:v>
                </c:pt>
                <c:pt idx="2">
                  <c:v>0</c:v>
                </c:pt>
                <c:pt idx="3">
                  <c:v>35.627494999999996</c:v>
                </c:pt>
                <c:pt idx="6">
                  <c:v>6.9166659999999993</c:v>
                </c:pt>
                <c:pt idx="8">
                  <c:v>32.360829000000003</c:v>
                </c:pt>
                <c:pt idx="10">
                  <c:v>0.41666599999999998</c:v>
                </c:pt>
                <c:pt idx="14">
                  <c:v>3.406666</c:v>
                </c:pt>
                <c:pt idx="17">
                  <c:v>6.161662999999999</c:v>
                </c:pt>
                <c:pt idx="18">
                  <c:v>51.424161999999995</c:v>
                </c:pt>
                <c:pt idx="21">
                  <c:v>50.876661000000006</c:v>
                </c:pt>
              </c:numCache>
            </c:numRef>
          </c:val>
          <c:extLst>
            <c:ext xmlns:c16="http://schemas.microsoft.com/office/drawing/2014/chart" uri="{C3380CC4-5D6E-409C-BE32-E72D297353CC}">
              <c16:uniqueId val="{00000005-E896-4045-8CF4-73AED96FB388}"/>
            </c:ext>
          </c:extLst>
        </c:ser>
        <c:dLbls>
          <c:showLegendKey val="0"/>
          <c:showVal val="0"/>
          <c:showCatName val="0"/>
          <c:showSerName val="0"/>
          <c:showPercent val="0"/>
          <c:showBubbleSize val="0"/>
        </c:dLbls>
        <c:gapWidth val="150"/>
        <c:overlap val="100"/>
        <c:axId val="2128298463"/>
        <c:axId val="2128294719"/>
      </c:barChart>
      <c:catAx>
        <c:axId val="21282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1C445A"/>
                </a:solidFill>
                <a:latin typeface="Calibri" panose="020F0502020204030204" pitchFamily="34" charset="0"/>
                <a:ea typeface="+mn-ea"/>
                <a:cs typeface="+mn-cs"/>
              </a:defRPr>
            </a:pPr>
            <a:endParaRPr lang="en-US"/>
          </a:p>
        </c:txPr>
        <c:crossAx val="2128294719"/>
        <c:crosses val="autoZero"/>
        <c:auto val="1"/>
        <c:lblAlgn val="ctr"/>
        <c:lblOffset val="100"/>
        <c:noMultiLvlLbl val="0"/>
      </c:catAx>
      <c:valAx>
        <c:axId val="2128294719"/>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0_);\(#,##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21282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r>
              <a:rPr lang="nb-NO"/>
              <a:t>Doktorgradsårsverk</a:t>
            </a:r>
            <a:r>
              <a:rPr lang="nb-NO" baseline="0"/>
              <a:t> fordelt på hovedaktiviteter (2019-2021)</a:t>
            </a:r>
            <a:endParaRPr lang="nb-NO"/>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1C445A"/>
              </a:solidFill>
              <a:latin typeface="Calibri" panose="020F0502020204030204" pitchFamily="34" charset="0"/>
              <a:ea typeface="+mn-ea"/>
              <a:cs typeface="+mn-cs"/>
            </a:defRPr>
          </a:pPr>
          <a:endParaRPr lang="en-US"/>
        </a:p>
      </c:txPr>
    </c:title>
    <c:autoTitleDeleted val="0"/>
    <c:plotArea>
      <c:layout/>
      <c:barChart>
        <c:barDir val="col"/>
        <c:grouping val="stacked"/>
        <c:varyColors val="0"/>
        <c:ser>
          <c:idx val="0"/>
          <c:order val="0"/>
          <c:tx>
            <c:strRef>
              <c:f>'Tabell antall årsverk 2'!$B$1</c:f>
              <c:strCache>
                <c:ptCount val="1"/>
                <c:pt idx="0">
                  <c:v>SFF/SFI/FME</c:v>
                </c:pt>
              </c:strCache>
            </c:strRef>
          </c:tx>
          <c:spPr>
            <a:solidFill>
              <a:srgbClr val="00338E"/>
            </a:solidFill>
            <a:ln w="28575">
              <a:noFill/>
            </a:ln>
            <a:effectLst/>
          </c:spPr>
          <c:invertIfNegative val="0"/>
          <c:cat>
            <c:strRef>
              <c:f>'Tabell antall årsverk 2'!$A$2:$A$23</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 2'!$B$2:$B$23</c:f>
              <c:numCache>
                <c:formatCode>#,##0_);\(#,##0\)</c:formatCode>
                <c:ptCount val="22"/>
                <c:pt idx="1">
                  <c:v>248.38912599999998</c:v>
                </c:pt>
                <c:pt idx="16">
                  <c:v>395.99662100000012</c:v>
                </c:pt>
                <c:pt idx="17">
                  <c:v>409.20325100000036</c:v>
                </c:pt>
              </c:numCache>
            </c:numRef>
          </c:val>
          <c:extLst>
            <c:ext xmlns:c16="http://schemas.microsoft.com/office/drawing/2014/chart" uri="{C3380CC4-5D6E-409C-BE32-E72D297353CC}">
              <c16:uniqueId val="{00000000-C1B7-4C0E-BEAC-C9985FA7B469}"/>
            </c:ext>
          </c:extLst>
        </c:ser>
        <c:ser>
          <c:idx val="1"/>
          <c:order val="1"/>
          <c:tx>
            <c:strRef>
              <c:f>'Tabell antall årsverk 2'!$C$1</c:f>
              <c:strCache>
                <c:ptCount val="1"/>
                <c:pt idx="0">
                  <c:v>Store programmer</c:v>
                </c:pt>
              </c:strCache>
            </c:strRef>
          </c:tx>
          <c:spPr>
            <a:solidFill>
              <a:srgbClr val="A3B4BC"/>
            </a:solidFill>
            <a:ln w="28575">
              <a:noFill/>
            </a:ln>
            <a:effectLst/>
          </c:spPr>
          <c:invertIfNegative val="0"/>
          <c:cat>
            <c:strRef>
              <c:f>'Tabell antall årsverk 2'!$A$2:$A$23</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 2'!$C$2:$C$23</c:f>
              <c:numCache>
                <c:formatCode>#,##0_);\(#,##0\)</c:formatCode>
                <c:ptCount val="22"/>
                <c:pt idx="1">
                  <c:v>191.75580100000005</c:v>
                </c:pt>
                <c:pt idx="3">
                  <c:v>46.043324999999996</c:v>
                </c:pt>
                <c:pt idx="4">
                  <c:v>129.33914499999992</c:v>
                </c:pt>
                <c:pt idx="7">
                  <c:v>57.033322999999996</c:v>
                </c:pt>
                <c:pt idx="10">
                  <c:v>421.53242400000011</c:v>
                </c:pt>
                <c:pt idx="12">
                  <c:v>172.44330100000002</c:v>
                </c:pt>
                <c:pt idx="15">
                  <c:v>5.2350000000000003</c:v>
                </c:pt>
                <c:pt idx="21">
                  <c:v>28.954998999999997</c:v>
                </c:pt>
              </c:numCache>
            </c:numRef>
          </c:val>
          <c:extLst>
            <c:ext xmlns:c16="http://schemas.microsoft.com/office/drawing/2014/chart" uri="{C3380CC4-5D6E-409C-BE32-E72D297353CC}">
              <c16:uniqueId val="{00000001-C1B7-4C0E-BEAC-C9985FA7B469}"/>
            </c:ext>
          </c:extLst>
        </c:ser>
        <c:ser>
          <c:idx val="2"/>
          <c:order val="2"/>
          <c:tx>
            <c:strRef>
              <c:f>'Tabell antall årsverk 2'!$D$1</c:f>
              <c:strCache>
                <c:ptCount val="1"/>
                <c:pt idx="0">
                  <c:v>Fri prosjektstøtte</c:v>
                </c:pt>
              </c:strCache>
            </c:strRef>
          </c:tx>
          <c:spPr>
            <a:solidFill>
              <a:srgbClr val="01BDE2"/>
            </a:solidFill>
            <a:ln w="28575">
              <a:noFill/>
            </a:ln>
            <a:effectLst/>
          </c:spPr>
          <c:invertIfNegative val="0"/>
          <c:cat>
            <c:strRef>
              <c:f>'Tabell antall årsverk 2'!$A$2:$A$23</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 2'!$D$2:$D$23</c:f>
              <c:numCache>
                <c:formatCode>General</c:formatCode>
                <c:ptCount val="22"/>
                <c:pt idx="5" formatCode="#,##0_);\(#,##0\)">
                  <c:v>228.34163600000014</c:v>
                </c:pt>
                <c:pt idx="9" formatCode="#,##0_);\(#,##0\)">
                  <c:v>263.58661700000005</c:v>
                </c:pt>
                <c:pt idx="11" formatCode="#,##0_);\(#,##0\)">
                  <c:v>298.58660400000008</c:v>
                </c:pt>
                <c:pt idx="21" formatCode="#,##0_);\(#,##0\)">
                  <c:v>2.25</c:v>
                </c:pt>
              </c:numCache>
            </c:numRef>
          </c:val>
          <c:extLst>
            <c:ext xmlns:c16="http://schemas.microsoft.com/office/drawing/2014/chart" uri="{C3380CC4-5D6E-409C-BE32-E72D297353CC}">
              <c16:uniqueId val="{00000002-C1B7-4C0E-BEAC-C9985FA7B469}"/>
            </c:ext>
          </c:extLst>
        </c:ser>
        <c:ser>
          <c:idx val="3"/>
          <c:order val="3"/>
          <c:tx>
            <c:strRef>
              <c:f>'Tabell antall årsverk 2'!$E$1</c:f>
              <c:strCache>
                <c:ptCount val="1"/>
                <c:pt idx="0">
                  <c:v>Handlingsrettede programmer</c:v>
                </c:pt>
              </c:strCache>
            </c:strRef>
          </c:tx>
          <c:spPr>
            <a:solidFill>
              <a:srgbClr val="FF7C00"/>
            </a:solidFill>
            <a:ln w="28575">
              <a:noFill/>
            </a:ln>
            <a:effectLst/>
          </c:spPr>
          <c:invertIfNegative val="0"/>
          <c:cat>
            <c:strRef>
              <c:f>'Tabell antall årsverk 2'!$A$2:$A$23</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 2'!$E$2:$E$23</c:f>
              <c:numCache>
                <c:formatCode>General</c:formatCode>
                <c:ptCount val="22"/>
                <c:pt idx="0" formatCode="#,##0_);\(#,##0\)">
                  <c:v>33.434163999999996</c:v>
                </c:pt>
                <c:pt idx="2" formatCode="#,##0_);\(#,##0\)">
                  <c:v>93.588318999999998</c:v>
                </c:pt>
                <c:pt idx="3" formatCode="#,##0_);\(#,##0\)">
                  <c:v>32.968325999999998</c:v>
                </c:pt>
                <c:pt idx="4" formatCode="#,##0_);\(#,##0\)">
                  <c:v>178.47664700000004</c:v>
                </c:pt>
                <c:pt idx="7" formatCode="#,##0_);\(#,##0\)">
                  <c:v>24.742497999999998</c:v>
                </c:pt>
                <c:pt idx="8" formatCode="#,##0_);\(#,##0\)">
                  <c:v>37.999994000000001</c:v>
                </c:pt>
                <c:pt idx="10" formatCode="#,##0_);\(#,##0\)">
                  <c:v>3.069998</c:v>
                </c:pt>
                <c:pt idx="14" formatCode="#,##0_);\(#,##0\)">
                  <c:v>146.95248100000003</c:v>
                </c:pt>
                <c:pt idx="15" formatCode="#,##0_);\(#,##0\)">
                  <c:v>60.551654999999982</c:v>
                </c:pt>
                <c:pt idx="21" formatCode="#,##0_);\(#,##0\)">
                  <c:v>6.1666650000000001</c:v>
                </c:pt>
              </c:numCache>
            </c:numRef>
          </c:val>
          <c:extLst>
            <c:ext xmlns:c16="http://schemas.microsoft.com/office/drawing/2014/chart" uri="{C3380CC4-5D6E-409C-BE32-E72D297353CC}">
              <c16:uniqueId val="{00000003-C1B7-4C0E-BEAC-C9985FA7B469}"/>
            </c:ext>
          </c:extLst>
        </c:ser>
        <c:ser>
          <c:idx val="4"/>
          <c:order val="4"/>
          <c:tx>
            <c:strRef>
              <c:f>'Tabell antall årsverk 2'!$F$1</c:f>
              <c:strCache>
                <c:ptCount val="1"/>
                <c:pt idx="0">
                  <c:v>Brukerstyrte innovasjonsprogrammer</c:v>
                </c:pt>
              </c:strCache>
            </c:strRef>
          </c:tx>
          <c:spPr>
            <a:solidFill>
              <a:srgbClr val="E03600"/>
            </a:solidFill>
            <a:ln w="28575">
              <a:noFill/>
            </a:ln>
            <a:effectLst/>
          </c:spPr>
          <c:invertIfNegative val="0"/>
          <c:cat>
            <c:strRef>
              <c:f>'Tabell antall årsverk 2'!$A$2:$A$23</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 2'!$F$2:$F$23</c:f>
              <c:numCache>
                <c:formatCode>#,##0_);\(#,##0\)</c:formatCode>
                <c:ptCount val="22"/>
                <c:pt idx="1">
                  <c:v>70.854989999999987</c:v>
                </c:pt>
                <c:pt idx="3">
                  <c:v>79.028324999999967</c:v>
                </c:pt>
                <c:pt idx="6">
                  <c:v>127.67747799999999</c:v>
                </c:pt>
                <c:pt idx="8">
                  <c:v>59.129989999999985</c:v>
                </c:pt>
                <c:pt idx="20" formatCode="General">
                  <c:v>182</c:v>
                </c:pt>
                <c:pt idx="21">
                  <c:v>38.275831000000004</c:v>
                </c:pt>
              </c:numCache>
            </c:numRef>
          </c:val>
          <c:extLst>
            <c:ext xmlns:c16="http://schemas.microsoft.com/office/drawing/2014/chart" uri="{C3380CC4-5D6E-409C-BE32-E72D297353CC}">
              <c16:uniqueId val="{00000004-C1B7-4C0E-BEAC-C9985FA7B469}"/>
            </c:ext>
          </c:extLst>
        </c:ser>
        <c:ser>
          <c:idx val="5"/>
          <c:order val="5"/>
          <c:tx>
            <c:strRef>
              <c:f>'Tabell antall årsverk 2'!$G$1</c:f>
              <c:strCache>
                <c:ptCount val="1"/>
                <c:pt idx="0">
                  <c:v>Andre frittstående prosjekter</c:v>
                </c:pt>
              </c:strCache>
            </c:strRef>
          </c:tx>
          <c:spPr>
            <a:solidFill>
              <a:srgbClr val="00C361"/>
            </a:solidFill>
            <a:ln w="28575">
              <a:noFill/>
            </a:ln>
            <a:effectLst/>
          </c:spPr>
          <c:invertIfNegative val="0"/>
          <c:cat>
            <c:strRef>
              <c:f>'Tabell antall årsverk 2'!$A$2:$A$23</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 2'!$G$2:$G$23</c:f>
              <c:numCache>
                <c:formatCode>General</c:formatCode>
                <c:ptCount val="22"/>
                <c:pt idx="7" formatCode="#,##0_);\(#,##0\)">
                  <c:v>20.241664</c:v>
                </c:pt>
                <c:pt idx="18" formatCode="#,##0_);\(#,##0\)">
                  <c:v>454.39661900000016</c:v>
                </c:pt>
                <c:pt idx="19" formatCode="#,##0_);\(#,##0\)">
                  <c:v>48.002494000000006</c:v>
                </c:pt>
                <c:pt idx="21" formatCode="#,##0_);\(#,##0\)">
                  <c:v>10.650831999999999</c:v>
                </c:pt>
              </c:numCache>
            </c:numRef>
          </c:val>
          <c:extLst>
            <c:ext xmlns:c16="http://schemas.microsoft.com/office/drawing/2014/chart" uri="{C3380CC4-5D6E-409C-BE32-E72D297353CC}">
              <c16:uniqueId val="{00000005-C1B7-4C0E-BEAC-C9985FA7B469}"/>
            </c:ext>
          </c:extLst>
        </c:ser>
        <c:ser>
          <c:idx val="6"/>
          <c:order val="6"/>
          <c:tx>
            <c:strRef>
              <c:f>'Tabell antall årsverk 2'!$H$1</c:f>
              <c:strCache>
                <c:ptCount val="1"/>
                <c:pt idx="0">
                  <c:v>Øvrige</c:v>
                </c:pt>
              </c:strCache>
            </c:strRef>
          </c:tx>
          <c:spPr>
            <a:solidFill>
              <a:srgbClr val="1C4359"/>
            </a:solidFill>
            <a:ln w="28575">
              <a:noFill/>
            </a:ln>
            <a:effectLst/>
          </c:spPr>
          <c:invertIfNegative val="0"/>
          <c:cat>
            <c:strRef>
              <c:f>'Tabell antall årsverk 2'!$A$2:$A$23</c:f>
              <c:strCache>
                <c:ptCount val="22"/>
                <c:pt idx="0">
                  <c:v>Demokrati, styring og fornyelse</c:v>
                </c:pt>
                <c:pt idx="1">
                  <c:v>Energi, transport og lavutslipp</c:v>
                </c:pt>
                <c:pt idx="2">
                  <c:v>Global utvikling</c:v>
                </c:pt>
                <c:pt idx="3">
                  <c:v>Hav</c:v>
                </c:pt>
                <c:pt idx="4">
                  <c:v>Helse</c:v>
                </c:pt>
                <c:pt idx="5">
                  <c:v>Humaniora og samfunnsvitenskap</c:v>
                </c:pt>
                <c:pt idx="6">
                  <c:v>Industri og tjenestenæringer</c:v>
                </c:pt>
                <c:pt idx="7">
                  <c:v>Klima- og polarforskning</c:v>
                </c:pt>
                <c:pt idx="8">
                  <c:v>Landbasert mat, miljø og bioressurser</c:v>
                </c:pt>
                <c:pt idx="9">
                  <c:v>Livsvitenskap</c:v>
                </c:pt>
                <c:pt idx="10">
                  <c:v>Muliggjørende teknologier</c:v>
                </c:pt>
                <c:pt idx="11">
                  <c:v>Naturvitenskap og teknologi</c:v>
                </c:pt>
                <c:pt idx="12">
                  <c:v>Petroleum</c:v>
                </c:pt>
                <c:pt idx="13">
                  <c:v>Samisk</c:v>
                </c:pt>
                <c:pt idx="14">
                  <c:v>Utdanning og kompetanse</c:v>
                </c:pt>
                <c:pt idx="15">
                  <c:v>Velferd, kultur og samfunn</c:v>
                </c:pt>
                <c:pt idx="16">
                  <c:v>SFF</c:v>
                </c:pt>
                <c:pt idx="17">
                  <c:v>SFI</c:v>
                </c:pt>
                <c:pt idx="18">
                  <c:v>Nærings-PhD</c:v>
                </c:pt>
                <c:pt idx="19">
                  <c:v>Offentlig PhD</c:v>
                </c:pt>
                <c:pt idx="20">
                  <c:v>Inoffarena*</c:v>
                </c:pt>
                <c:pt idx="21">
                  <c:v>Annet</c:v>
                </c:pt>
              </c:strCache>
            </c:strRef>
          </c:cat>
          <c:val>
            <c:numRef>
              <c:f>'Tabell antall årsverk 2'!$H$2:$H$23</c:f>
              <c:numCache>
                <c:formatCode>General</c:formatCode>
                <c:ptCount val="22"/>
                <c:pt idx="0" formatCode="#,##0_);\(#,##0\)">
                  <c:v>6.569998</c:v>
                </c:pt>
                <c:pt idx="4" formatCode="#,##0_);\(#,##0\)">
                  <c:v>12.233331999999999</c:v>
                </c:pt>
                <c:pt idx="6" formatCode="#,##0_);\(#,##0\)">
                  <c:v>21.576664999999998</c:v>
                </c:pt>
                <c:pt idx="8" formatCode="#,##0_);\(#,##0\)">
                  <c:v>1.83</c:v>
                </c:pt>
                <c:pt idx="9" formatCode="#,##0_);\(#,##0\)">
                  <c:v>42.621659999999999</c:v>
                </c:pt>
                <c:pt idx="11" formatCode="#,##0_);\(#,##0\)">
                  <c:v>16.823329000000001</c:v>
                </c:pt>
                <c:pt idx="12" formatCode="#,##0_);\(#,##0\)">
                  <c:v>62.125827000000001</c:v>
                </c:pt>
                <c:pt idx="13" formatCode="#,##0_);\(#,##0\)">
                  <c:v>4.32</c:v>
                </c:pt>
                <c:pt idx="14" formatCode="#,##0_);\(#,##0\)">
                  <c:v>31.506660999999994</c:v>
                </c:pt>
                <c:pt idx="15" formatCode="#,##0_);\(#,##0\)">
                  <c:v>47.657491999999991</c:v>
                </c:pt>
                <c:pt idx="21" formatCode="#,##0_);\(#,##0\)">
                  <c:v>170.07664999999997</c:v>
                </c:pt>
              </c:numCache>
            </c:numRef>
          </c:val>
          <c:extLst>
            <c:ext xmlns:c16="http://schemas.microsoft.com/office/drawing/2014/chart" uri="{C3380CC4-5D6E-409C-BE32-E72D297353CC}">
              <c16:uniqueId val="{00000006-C1B7-4C0E-BEAC-C9985FA7B469}"/>
            </c:ext>
          </c:extLst>
        </c:ser>
        <c:dLbls>
          <c:showLegendKey val="0"/>
          <c:showVal val="0"/>
          <c:showCatName val="0"/>
          <c:showSerName val="0"/>
          <c:showPercent val="0"/>
          <c:showBubbleSize val="0"/>
        </c:dLbls>
        <c:gapWidth val="150"/>
        <c:overlap val="100"/>
        <c:axId val="1454847583"/>
        <c:axId val="1454649263"/>
      </c:barChart>
      <c:catAx>
        <c:axId val="1454847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1C445A"/>
                </a:solidFill>
                <a:latin typeface="Calibri" panose="020F0502020204030204" pitchFamily="34" charset="0"/>
                <a:ea typeface="+mn-ea"/>
                <a:cs typeface="+mn-cs"/>
              </a:defRPr>
            </a:pPr>
            <a:endParaRPr lang="en-US"/>
          </a:p>
        </c:txPr>
        <c:crossAx val="1454649263"/>
        <c:crosses val="autoZero"/>
        <c:auto val="1"/>
        <c:lblAlgn val="ctr"/>
        <c:lblOffset val="100"/>
        <c:noMultiLvlLbl val="0"/>
      </c:catAx>
      <c:valAx>
        <c:axId val="1454649263"/>
        <c:scaling>
          <c:orientation val="minMax"/>
        </c:scaling>
        <c:delete val="0"/>
        <c:axPos val="l"/>
        <c:majorGridlines>
          <c:spPr>
            <a:ln w="12700" cap="flat" cmpd="sng" algn="ctr">
              <a:solidFill>
                <a:srgbClr val="D2D6E2"/>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nb-NO">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0_);\(#,##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1454847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'[Utenlandsstipend kjønn.xlsx]Antall årsverk over tid'!$A$4</c:f>
              <c:strCache>
                <c:ptCount val="1"/>
                <c:pt idx="0">
                  <c:v>KVINNE</c:v>
                </c:pt>
              </c:strCache>
            </c:strRef>
          </c:tx>
          <c:spPr>
            <a:ln w="28575" cap="rnd" cmpd="sng" algn="ctr">
              <a:solidFill>
                <a:srgbClr val="00338E"/>
              </a:solidFill>
              <a:prstDash val="solid"/>
              <a:round/>
              <a:headEnd type="none" w="med" len="med"/>
              <a:tailEnd type="none" w="med" len="med"/>
            </a:ln>
            <a:effectLst/>
          </c:spPr>
          <c:marker>
            <c:symbol val="circle"/>
            <c:size val="5"/>
            <c:spPr>
              <a:solidFill>
                <a:schemeClr val="accent1"/>
              </a:solidFill>
              <a:ln w="28575" cap="rnd" cmpd="sng" algn="ctr">
                <a:solidFill>
                  <a:srgbClr val="00338E"/>
                </a:solidFill>
                <a:prstDash val="solid"/>
                <a:round/>
                <a:headEnd type="none" w="med" len="med"/>
                <a:tailEnd type="none" w="med" len="med"/>
              </a:ln>
              <a:effectLst/>
            </c:spPr>
          </c:marker>
          <c:cat>
            <c:numRef>
              <c:f>'[Utenlandsstipend kjønn.xlsx]Antall årsverk over tid'!$B$3:$L$3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'[Utenlandsstipend kjønn.xlsx]Antall årsverk over tid'!$B$4:$L$4</c:f>
              <c:numCache>
                <c:formatCode>General</c:formatCode>
                <c:ptCount val="11"/>
                <c:pt idx="0">
                  <c:v>71</c:v>
                </c:pt>
                <c:pt idx="1">
                  <c:v>70</c:v>
                </c:pt>
                <c:pt idx="2">
                  <c:v>54</c:v>
                </c:pt>
                <c:pt idx="3">
                  <c:v>69</c:v>
                </c:pt>
                <c:pt idx="4">
                  <c:v>88</c:v>
                </c:pt>
                <c:pt idx="5">
                  <c:v>89</c:v>
                </c:pt>
                <c:pt idx="6">
                  <c:v>97</c:v>
                </c:pt>
                <c:pt idx="7">
                  <c:v>100</c:v>
                </c:pt>
                <c:pt idx="8">
                  <c:v>94</c:v>
                </c:pt>
                <c:pt idx="9">
                  <c:v>48</c:v>
                </c:pt>
                <c:pt idx="10">
                  <c:v>56</c:v>
                </c:pt>
              </c:numCache>
            </c:numRef>
          </c:val>
          <c:smooth val="0"/>
          <c:extLst>
            <c:ext xmlns:c16="http://schemas.microsoft.com/office/drawing/2014/chart" uri="{C3380CC4-5D6E-409C-BE32-E72D297353CC}">
              <c16:uniqueId val="{00000000-9A26-43A5-AE3D-0147CB33F3C1}"/>
            </c:ext>
          </c:extLst>
        </c:ser>
        <c:ser>
          <c:idx val="1"/>
          <c:order val="1"/>
          <c:tx>
            <c:strRef>
              <c:f>'[Utenlandsstipend kjønn.xlsx]Antall årsverk over tid'!$A$5</c:f>
              <c:strCache>
                <c:ptCount val="1"/>
                <c:pt idx="0">
                  <c:v>MANN</c:v>
                </c:pt>
              </c:strCache>
            </c:strRef>
          </c:tx>
          <c:spPr>
            <a:ln w="28575" cap="rnd" cmpd="sng" algn="ctr">
              <a:solidFill>
                <a:srgbClr val="A3B4BC"/>
              </a:solidFill>
              <a:prstDash val="solid"/>
              <a:round/>
              <a:headEnd type="none" w="med" len="med"/>
              <a:tailEnd type="none" w="med" len="med"/>
            </a:ln>
            <a:effectLst/>
          </c:spPr>
          <c:marker>
            <c:symbol val="circle"/>
            <c:size val="5"/>
            <c:spPr>
              <a:solidFill>
                <a:schemeClr val="accent2"/>
              </a:solidFill>
              <a:ln w="28575" cap="rnd" cmpd="sng" algn="ctr">
                <a:solidFill>
                  <a:srgbClr val="A3B4BC"/>
                </a:solidFill>
                <a:prstDash val="solid"/>
                <a:round/>
                <a:headEnd type="none" w="med" len="med"/>
                <a:tailEnd type="none" w="med" len="med"/>
              </a:ln>
              <a:effectLst/>
            </c:spPr>
          </c:marker>
          <c:cat>
            <c:numRef>
              <c:f>'[Utenlandsstipend kjønn.xlsx]Antall årsverk over tid'!$B$3:$L$3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'[Utenlandsstipend kjønn.xlsx]Antall årsverk over tid'!$B$5:$L$5</c:f>
              <c:numCache>
                <c:formatCode>General</c:formatCode>
                <c:ptCount val="11"/>
                <c:pt idx="0">
                  <c:v>52</c:v>
                </c:pt>
                <c:pt idx="1">
                  <c:v>75</c:v>
                </c:pt>
                <c:pt idx="2">
                  <c:v>47</c:v>
                </c:pt>
                <c:pt idx="3">
                  <c:v>72</c:v>
                </c:pt>
                <c:pt idx="4">
                  <c:v>71</c:v>
                </c:pt>
                <c:pt idx="5">
                  <c:v>88</c:v>
                </c:pt>
                <c:pt idx="6">
                  <c:v>97</c:v>
                </c:pt>
                <c:pt idx="7">
                  <c:v>94</c:v>
                </c:pt>
                <c:pt idx="8">
                  <c:v>81</c:v>
                </c:pt>
                <c:pt idx="9">
                  <c:v>49</c:v>
                </c:pt>
                <c:pt idx="10">
                  <c:v>66</c:v>
                </c:pt>
              </c:numCache>
            </c:numRef>
          </c:val>
          <c:smooth val="0"/>
          <c:extLst>
            <c:ext xmlns:c16="http://schemas.microsoft.com/office/drawing/2014/chart" uri="{C3380CC4-5D6E-409C-BE32-E72D297353CC}">
              <c16:uniqueId val="{00000001-9A26-43A5-AE3D-0147CB33F3C1}"/>
            </c:ext>
          </c:extLst>
        </c:ser>
        <c:ser>
          <c:idx val="2"/>
          <c:order val="2"/>
          <c:tx>
            <c:strRef>
              <c:f>'[Utenlandsstipend kjønn.xlsx]Antall årsverk over tid'!$A$6</c:f>
              <c:strCache>
                <c:ptCount val="1"/>
                <c:pt idx="0">
                  <c:v>UKJENT</c:v>
                </c:pt>
              </c:strCache>
            </c:strRef>
          </c:tx>
          <c:spPr>
            <a:ln w="28575" cap="rnd" cmpd="sng" algn="ctr">
              <a:solidFill>
                <a:srgbClr val="01BDE2"/>
              </a:solidFill>
              <a:prstDash val="solid"/>
              <a:round/>
              <a:headEnd type="none" w="med" len="med"/>
              <a:tailEnd type="none" w="med" len="med"/>
            </a:ln>
            <a:effectLst/>
          </c:spPr>
          <c:marker>
            <c:symbol val="circle"/>
            <c:size val="5"/>
            <c:spPr>
              <a:solidFill>
                <a:schemeClr val="accent3"/>
              </a:solidFill>
              <a:ln w="28575" cap="rnd" cmpd="sng" algn="ctr">
                <a:solidFill>
                  <a:srgbClr val="01BDE2"/>
                </a:solidFill>
                <a:prstDash val="solid"/>
                <a:round/>
                <a:headEnd type="none" w="med" len="med"/>
                <a:tailEnd type="none" w="med" len="med"/>
              </a:ln>
              <a:effectLst/>
            </c:spPr>
          </c:marker>
          <c:cat>
            <c:numRef>
              <c:f>'[Utenlandsstipend kjønn.xlsx]Antall årsverk over tid'!$B$3:$L$3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'[Utenlandsstipend kjønn.xlsx]Antall årsverk over tid'!$B$6:$L$6</c:f>
              <c:numCache>
                <c:formatCode>General</c:formatCode>
                <c:ptCount val="11"/>
                <c:pt idx="1">
                  <c:v>1</c:v>
                </c:pt>
                <c:pt idx="2">
                  <c:v>3</c:v>
                </c:pt>
                <c:pt idx="3">
                  <c:v>1</c:v>
                </c:pt>
                <c:pt idx="7">
                  <c:v>2</c:v>
                </c:pt>
                <c:pt idx="10">
                  <c:v>3</c:v>
                </c:pt>
              </c:numCache>
            </c:numRef>
          </c:val>
          <c:smooth val="0"/>
          <c:extLst>
            <c:ext xmlns:c16="http://schemas.microsoft.com/office/drawing/2014/chart" uri="{C3380CC4-5D6E-409C-BE32-E72D297353CC}">
              <c16:uniqueId val="{00000002-9A26-43A5-AE3D-0147CB33F3C1}"/>
            </c:ext>
          </c:extLst>
        </c:ser>
        <c:dLbls>
          <c:showLegendKey val="0"/>
          <c:showVal val="0"/>
          <c:showCatName val="0"/>
          <c:showSerName val="0"/>
          <c:showPercent val="0"/>
          <c:showBubbleSize val="0"/>
        </c:dLbls>
        <c:marker val="1"/>
        <c:smooth val="0"/>
        <c:axId val="933718336"/>
        <c:axId val="933724992"/>
      </c:lineChart>
      <c:catAx>
        <c:axId val="93371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933724992"/>
        <c:crosses val="autoZero"/>
        <c:auto val="1"/>
        <c:lblAlgn val="ctr"/>
        <c:lblOffset val="100"/>
        <c:noMultiLvlLbl val="0"/>
      </c:catAx>
      <c:valAx>
        <c:axId val="933724992"/>
        <c:scaling>
          <c:orientation val="minMax"/>
        </c:scaling>
        <c:delete val="0"/>
        <c:axPos val="l"/>
        <c:majorGridlines>
          <c:spPr>
            <a:ln w="12700" cap="flat" cmpd="sng" algn="ctr">
              <a:solidFill>
                <a:srgbClr val="D2D6E2"/>
              </a:solidFill>
              <a:prstDash val="solid"/>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r>
                  <a:rPr lang="en-US">
                    <a:solidFill>
                      <a:srgbClr val="1C445A"/>
                    </a:solidFill>
                  </a:rPr>
                  <a:t>Antall årsverk</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crossAx val="93371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1C445A"/>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sz="1000">
          <a:solidFill>
            <a:srgbClr val="1C445A"/>
          </a:solidFill>
          <a:latin typeface="Calibri" panose="020F0502020204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A5E5107DE4F1AA825ACE1996683D5"/>
        <w:category>
          <w:name w:val="Generelt"/>
          <w:gallery w:val="placeholder"/>
        </w:category>
        <w:types>
          <w:type w:val="bbPlcHdr"/>
        </w:types>
        <w:behaviors>
          <w:behavior w:val="content"/>
        </w:behaviors>
        <w:guid w:val="{015C0727-2EA9-4858-A3BC-893EE2FECFB3}"/>
      </w:docPartPr>
      <w:docPartBody>
        <w:p w:rsidR="00673F4B" w:rsidRDefault="00426D4D">
          <w:r w:rsidRPr="000A0546">
            <w:rPr>
              <w:rStyle w:val="Plassholdertekst"/>
              <w:color w:val="auto"/>
            </w:rPr>
            <w:t>Programplan</w:t>
          </w:r>
          <w:r>
            <w:rPr>
              <w:rStyle w:val="Plassholdertekst"/>
            </w:rPr>
            <w:br/>
          </w:r>
          <w:r>
            <w:rPr>
              <w:rStyle w:val="TittelTegn"/>
            </w:rPr>
            <w:t>20xx‒20xx</w:t>
          </w:r>
        </w:p>
      </w:docPartBody>
    </w:docPart>
    <w:docPart>
      <w:docPartPr>
        <w:name w:val="D34794F1423040328827D45BB281419D"/>
        <w:category>
          <w:name w:val="Generelt"/>
          <w:gallery w:val="placeholder"/>
        </w:category>
        <w:types>
          <w:type w:val="bbPlcHdr"/>
        </w:types>
        <w:behaviors>
          <w:behavior w:val="content"/>
        </w:behaviors>
        <w:guid w:val="{FE29B9FB-82ED-4FC6-BDD2-2505281C11BB}"/>
      </w:docPartPr>
      <w:docPartBody>
        <w:p w:rsidR="00673F4B" w:rsidRDefault="00426D4D">
          <w:r w:rsidRPr="00B47360">
            <w:rPr>
              <w:rStyle w:val="Plassholdertekst"/>
              <w:color w:val="auto"/>
            </w:rPr>
            <w:t xml:space="preserve">Klikk her for å skrive inn </w:t>
          </w:r>
          <w:r>
            <w:rPr>
              <w:rStyle w:val="UndertittelTegn"/>
            </w:rPr>
            <w:t>navnet på porteføljen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4D"/>
    <w:rsid w:val="00010611"/>
    <w:rsid w:val="00052C60"/>
    <w:rsid w:val="00097433"/>
    <w:rsid w:val="0019099A"/>
    <w:rsid w:val="0032145C"/>
    <w:rsid w:val="00426D4D"/>
    <w:rsid w:val="00565DCC"/>
    <w:rsid w:val="005B6CC3"/>
    <w:rsid w:val="00673F4B"/>
    <w:rsid w:val="007739AE"/>
    <w:rsid w:val="007E1067"/>
    <w:rsid w:val="00B114D8"/>
    <w:rsid w:val="00B125F1"/>
    <w:rsid w:val="00EE5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26D4D"/>
    <w:rPr>
      <w:color w:val="808080"/>
    </w:rPr>
  </w:style>
  <w:style w:type="paragraph" w:styleId="Tittel">
    <w:name w:val="Title"/>
    <w:basedOn w:val="Normal"/>
    <w:next w:val="Normal"/>
    <w:link w:val="TittelTegn"/>
    <w:uiPriority w:val="10"/>
    <w:rsid w:val="00426D4D"/>
    <w:pPr>
      <w:pBdr>
        <w:bottom w:val="single" w:sz="8" w:space="4" w:color="4472C4" w:themeColor="accent1"/>
      </w:pBdr>
      <w:spacing w:before="1440" w:after="360" w:line="240" w:lineRule="auto"/>
      <w:contextualSpacing/>
      <w:jc w:val="right"/>
    </w:pPr>
    <w:rPr>
      <w:rFonts w:eastAsiaTheme="majorEastAsia" w:cstheme="majorBidi"/>
      <w:color w:val="000000" w:themeColor="text1"/>
      <w:spacing w:val="5"/>
      <w:kern w:val="28"/>
      <w:sz w:val="48"/>
      <w:szCs w:val="52"/>
      <w:lang w:val="nb-NO"/>
    </w:rPr>
  </w:style>
  <w:style w:type="character" w:customStyle="1" w:styleId="TittelTegn">
    <w:name w:val="Tittel Tegn"/>
    <w:basedOn w:val="Standardskriftforavsnitt"/>
    <w:link w:val="Tittel"/>
    <w:uiPriority w:val="10"/>
    <w:rsid w:val="00426D4D"/>
    <w:rPr>
      <w:rFonts w:eastAsiaTheme="majorEastAsia" w:cstheme="majorBidi"/>
      <w:color w:val="000000" w:themeColor="text1"/>
      <w:spacing w:val="5"/>
      <w:kern w:val="28"/>
      <w:sz w:val="48"/>
      <w:szCs w:val="52"/>
      <w:lang w:val="nb-NO"/>
    </w:rPr>
  </w:style>
  <w:style w:type="paragraph" w:styleId="Undertittel">
    <w:name w:val="Subtitle"/>
    <w:basedOn w:val="Normal"/>
    <w:next w:val="Normal"/>
    <w:link w:val="UndertittelTegn"/>
    <w:uiPriority w:val="11"/>
    <w:rsid w:val="00426D4D"/>
    <w:pPr>
      <w:jc w:val="right"/>
    </w:pPr>
    <w:rPr>
      <w:rFonts w:eastAsiaTheme="minorHAnsi"/>
      <w:color w:val="000000" w:themeColor="text1"/>
      <w:sz w:val="28"/>
      <w:lang w:val="nb-NO"/>
    </w:rPr>
  </w:style>
  <w:style w:type="character" w:customStyle="1" w:styleId="UndertittelTegn">
    <w:name w:val="Undertittel Tegn"/>
    <w:basedOn w:val="Standardskriftforavsnitt"/>
    <w:link w:val="Undertittel"/>
    <w:uiPriority w:val="11"/>
    <w:rsid w:val="00426D4D"/>
    <w:rPr>
      <w:rFonts w:eastAsiaTheme="minorHAnsi"/>
      <w:color w:val="000000" w:themeColor="text1"/>
      <w:sz w:val="28"/>
      <w:lang w:val="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B3844E8E548146B2739E6CA077799D" ma:contentTypeVersion="6" ma:contentTypeDescription="Opprett et nytt dokument." ma:contentTypeScope="" ma:versionID="1ade861614e0f83458eedd0655044e6d">
  <xsd:schema xmlns:xsd="http://www.w3.org/2001/XMLSchema" xmlns:xs="http://www.w3.org/2001/XMLSchema" xmlns:p="http://schemas.microsoft.com/office/2006/metadata/properties" xmlns:ns2="f3acafdc-5975-435e-ae65-987ec626af2f" xmlns:ns3="a770180e-661e-46cf-9785-c7ddf77dd9be" targetNamespace="http://schemas.microsoft.com/office/2006/metadata/properties" ma:root="true" ma:fieldsID="8e1a81573615812a85b648afa1ded48f" ns2:_="" ns3:_="">
    <xsd:import namespace="f3acafdc-5975-435e-ae65-987ec626af2f"/>
    <xsd:import namespace="a770180e-661e-46cf-9785-c7ddf77dd9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cafdc-5975-435e-ae65-987ec626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0180e-661e-46cf-9785-c7ddf77dd9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48036456-8C2E-4CB6-983E-E8A7327AA9B1}">
  <ds:schemaRefs>
    <ds:schemaRef ds:uri="http://schemas.microsoft.com/sharepoint/v3/contenttype/forms"/>
  </ds:schemaRefs>
</ds:datastoreItem>
</file>

<file path=customXml/itemProps3.xml><?xml version="1.0" encoding="utf-8"?>
<ds:datastoreItem xmlns:ds="http://schemas.openxmlformats.org/officeDocument/2006/customXml" ds:itemID="{15DBD58C-54EB-4724-99B1-EA8441CDB7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20261D-E1C8-4F19-94F4-377BD1CD2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cafdc-5975-435e-ae65-987ec626af2f"/>
    <ds:schemaRef ds:uri="a770180e-661e-46cf-9785-c7ddf77dd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6338</Words>
  <Characters>36132</Characters>
  <Application>Microsoft Office Word</Application>
  <DocSecurity>0</DocSecurity>
  <Lines>301</Lines>
  <Paragraphs>84</Paragraphs>
  <ScaleCrop>false</ScaleCrop>
  <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Gunhild Rønningen</dc:creator>
  <cp:keywords/>
  <dc:description/>
  <cp:lastModifiedBy>John Baarli</cp:lastModifiedBy>
  <cp:revision>6</cp:revision>
  <cp:lastPrinted>2022-08-18T11:47:00Z</cp:lastPrinted>
  <dcterms:created xsi:type="dcterms:W3CDTF">2022-09-05T09:21:00Z</dcterms:created>
  <dcterms:modified xsi:type="dcterms:W3CDTF">2022-09-26T07:29:00Z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2022-04-06T06:51:18Z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4cd75dbc-8297-46db-9ee5-2b8597a84163</vt:lpwstr>
  </property>
  <property fmtid="{D5CDD505-2E9C-101B-9397-08002B2CF9AE}" pid="8" name="MSIP_Label_111b3e3d-01ff-44be-8e41-bb9a1b879f55_ContentBits">
    <vt:lpwstr>0</vt:lpwstr>
  </property>
  <property fmtid="{D5CDD505-2E9C-101B-9397-08002B2CF9AE}" pid="9" name="ContentTypeId">
    <vt:lpwstr>0x01010058B3844E8E548146B2739E6CA077799D</vt:lpwstr>
  </property>
</Properties>
</file>